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Anexa nr.1</w:t>
      </w:r>
    </w:p>
    <w:p w:rsidR="00000000" w:rsidDel="00000000" w:rsidP="00000000" w:rsidRDefault="00000000" w:rsidRPr="00000000" w14:paraId="00000002">
      <w:pPr>
        <w:jc w:val="center"/>
        <w:rPr>
          <w:b w:val="1"/>
        </w:rPr>
      </w:pPr>
      <w:r w:rsidDel="00000000" w:rsidR="00000000" w:rsidRPr="00000000">
        <w:rPr>
          <w:b w:val="1"/>
          <w:rtl w:val="0"/>
        </w:rPr>
        <w:t xml:space="preserve">Amendamente propuse</w:t>
      </w:r>
    </w:p>
    <w:p w:rsidR="00000000" w:rsidDel="00000000" w:rsidP="00000000" w:rsidRDefault="00000000" w:rsidRPr="00000000" w14:paraId="00000003">
      <w:pPr>
        <w:rPr>
          <w:b w:val="1"/>
        </w:rPr>
      </w:pPr>
      <w:r w:rsidDel="00000000" w:rsidR="00000000" w:rsidRPr="00000000">
        <w:rPr>
          <w:rtl w:val="0"/>
        </w:rPr>
      </w:r>
    </w:p>
    <w:tbl>
      <w:tblPr>
        <w:tblStyle w:val="Table1"/>
        <w:tblW w:w="151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4819"/>
        <w:gridCol w:w="4820"/>
        <w:gridCol w:w="4820"/>
        <w:tblGridChange w:id="0">
          <w:tblGrid>
            <w:gridCol w:w="709"/>
            <w:gridCol w:w="4819"/>
            <w:gridCol w:w="4820"/>
            <w:gridCol w:w="4820"/>
          </w:tblGrid>
        </w:tblGridChange>
      </w:tblGrid>
      <w:tr>
        <w:tc>
          <w:tcPr/>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Nr. crt.</w:t>
            </w:r>
          </w:p>
        </w:tc>
        <w:tc>
          <w:tcPr>
            <w:shd w:fill="auto" w:val="clear"/>
            <w:vAlign w:val="center"/>
          </w:tcPr>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Text Senat</w:t>
            </w:r>
          </w:p>
        </w:tc>
        <w:tc>
          <w:tcPr>
            <w:vAlign w:val="center"/>
          </w:tcPr>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Text propus de Comisie</w:t>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(autorul amendamentului)</w:t>
            </w:r>
          </w:p>
        </w:tc>
        <w:tc>
          <w:tcPr>
            <w:vAlign w:val="center"/>
          </w:tcPr>
          <w:p w:rsidR="00000000" w:rsidDel="00000000" w:rsidP="00000000" w:rsidRDefault="00000000" w:rsidRPr="00000000" w14:paraId="00000008">
            <w:pPr>
              <w:jc w:val="center"/>
              <w:rPr>
                <w:b w:val="1"/>
                <w:sz w:val="24"/>
                <w:szCs w:val="24"/>
              </w:rPr>
            </w:pPr>
            <w:r w:rsidDel="00000000" w:rsidR="00000000" w:rsidRPr="00000000">
              <w:rPr>
                <w:b w:val="1"/>
                <w:sz w:val="24"/>
                <w:szCs w:val="24"/>
                <w:rtl w:val="0"/>
              </w:rPr>
              <w:t xml:space="preserve">Motivarea </w:t>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amendamentelor propuse</w:t>
            </w:r>
          </w:p>
        </w:tc>
      </w:tr>
      <w:tr>
        <w:tc>
          <w:tcPr/>
          <w:p w:rsidR="00000000" w:rsidDel="00000000" w:rsidP="00000000" w:rsidRDefault="00000000" w:rsidRPr="00000000" w14:paraId="0000000A">
            <w:pPr>
              <w:numPr>
                <w:ilvl w:val="0"/>
                <w:numId w:val="1"/>
              </w:numPr>
              <w:ind w:left="0" w:right="-2093" w:firstLine="0"/>
              <w:jc w:val="both"/>
              <w:rPr/>
            </w:pPr>
            <w:r w:rsidDel="00000000" w:rsidR="00000000" w:rsidRPr="00000000">
              <w:rPr>
                <w:rtl w:val="0"/>
              </w:rPr>
            </w:r>
          </w:p>
        </w:tc>
        <w:tc>
          <w:tcPr>
            <w:shd w:fill="auto" w:val="clear"/>
          </w:tcPr>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L E G E A</w:t>
            </w:r>
          </w:p>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pentru completarea Legii nr.227/2015 privind Codul fiscal</w:t>
            </w:r>
          </w:p>
        </w:tc>
        <w:tc>
          <w:tcPr/>
          <w:p w:rsidR="00000000" w:rsidDel="00000000" w:rsidP="00000000" w:rsidRDefault="00000000" w:rsidRPr="00000000" w14:paraId="0000000D">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0E">
            <w:pPr>
              <w:rPr>
                <w:sz w:val="24"/>
                <w:szCs w:val="24"/>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0F">
            <w:pPr>
              <w:numPr>
                <w:ilvl w:val="0"/>
                <w:numId w:val="1"/>
              </w:numPr>
              <w:ind w:left="0" w:firstLine="0"/>
              <w:jc w:val="both"/>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0">
            <w:pPr>
              <w:jc w:val="both"/>
              <w:rPr>
                <w:sz w:val="24"/>
                <w:szCs w:val="24"/>
              </w:rPr>
            </w:pPr>
            <w:r w:rsidDel="00000000" w:rsidR="00000000" w:rsidRPr="00000000">
              <w:rPr>
                <w:b w:val="1"/>
                <w:sz w:val="24"/>
                <w:szCs w:val="24"/>
                <w:rtl w:val="0"/>
              </w:rPr>
              <w:t xml:space="preserve">Art.I.-</w:t>
            </w:r>
            <w:r w:rsidDel="00000000" w:rsidR="00000000" w:rsidRPr="00000000">
              <w:rPr>
                <w:sz w:val="24"/>
                <w:szCs w:val="24"/>
                <w:rtl w:val="0"/>
              </w:rPr>
              <w:tab/>
              <w:t xml:space="preserve">Legea nr.227/2015 privind Codul fiscal, publicată în Monitorul Oficial al României, Partea I, nr.688 din 10 septembrie 2015, cu modificările şi completările ulterioare, se completează după cum urmează:</w:t>
            </w:r>
          </w:p>
        </w:tc>
        <w:tc>
          <w:tcPr/>
          <w:p w:rsidR="00000000" w:rsidDel="00000000" w:rsidP="00000000" w:rsidRDefault="00000000" w:rsidRPr="00000000" w14:paraId="00000011">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12">
            <w:pPr>
              <w:rPr>
                <w:sz w:val="24"/>
                <w:szCs w:val="24"/>
              </w:rPr>
            </w:pPr>
            <w:r w:rsidDel="00000000" w:rsidR="00000000" w:rsidRPr="00000000">
              <w:rPr>
                <w:rtl w:val="0"/>
              </w:rPr>
            </w:r>
          </w:p>
        </w:tc>
      </w:tr>
      <w:tr>
        <w:trPr>
          <w:trHeight w:val="220" w:hRule="atLeast"/>
        </w:trPr>
        <w:tc>
          <w:tcPr>
            <w:tcBorders>
              <w:bottom w:color="000000" w:space="0" w:sz="0" w:val="nil"/>
            </w:tcBorders>
          </w:tcPr>
          <w:p w:rsidR="00000000" w:rsidDel="00000000" w:rsidP="00000000" w:rsidRDefault="00000000" w:rsidRPr="00000000" w14:paraId="00000013">
            <w:pPr>
              <w:numPr>
                <w:ilvl w:val="0"/>
                <w:numId w:val="1"/>
              </w:numPr>
              <w:ind w:left="0" w:firstLine="0"/>
              <w:jc w:val="both"/>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14">
            <w:pPr>
              <w:jc w:val="both"/>
              <w:rPr>
                <w:b w:val="1"/>
                <w:sz w:val="24"/>
                <w:szCs w:val="24"/>
              </w:rPr>
            </w:pPr>
            <w:r w:rsidDel="00000000" w:rsidR="00000000" w:rsidRPr="00000000">
              <w:rPr>
                <w:b w:val="1"/>
                <w:sz w:val="24"/>
                <w:szCs w:val="24"/>
                <w:rtl w:val="0"/>
              </w:rPr>
              <w:t xml:space="preserve">1. La articolul 2 alineatul (1), după litera i) se introduce o nouă literă, lit.j), cu următorul cuprins:</w:t>
            </w:r>
          </w:p>
        </w:tc>
        <w:tc>
          <w:tcPr>
            <w:vMerge w:val="restart"/>
          </w:tcPr>
          <w:p w:rsidR="00000000" w:rsidDel="00000000" w:rsidP="00000000" w:rsidRDefault="00000000" w:rsidRPr="00000000" w14:paraId="00000015">
            <w:pPr>
              <w:jc w:val="both"/>
              <w:rPr>
                <w:color w:val="ff0000"/>
                <w:sz w:val="24"/>
                <w:szCs w:val="24"/>
              </w:rPr>
            </w:pPr>
            <w:r w:rsidDel="00000000" w:rsidR="00000000" w:rsidRPr="00000000">
              <w:rPr>
                <w:sz w:val="24"/>
                <w:szCs w:val="24"/>
                <w:rtl w:val="0"/>
              </w:rPr>
              <w:t xml:space="preserve">Nemodificat</w:t>
            </w:r>
            <w:r w:rsidDel="00000000" w:rsidR="00000000" w:rsidRPr="00000000">
              <w:rPr>
                <w:rtl w:val="0"/>
              </w:rPr>
            </w:r>
          </w:p>
        </w:tc>
        <w:tc>
          <w:tcPr>
            <w:vMerge w:val="restart"/>
          </w:tcPr>
          <w:p w:rsidR="00000000" w:rsidDel="00000000" w:rsidP="00000000" w:rsidRDefault="00000000" w:rsidRPr="00000000" w14:paraId="00000016">
            <w:pPr>
              <w:rPr>
                <w:sz w:val="24"/>
                <w:szCs w:val="24"/>
              </w:rPr>
            </w:pPr>
            <w:r w:rsidDel="00000000" w:rsidR="00000000" w:rsidRPr="00000000">
              <w:rPr>
                <w:rtl w:val="0"/>
              </w:rPr>
            </w:r>
          </w:p>
        </w:tc>
      </w:tr>
      <w:tr>
        <w:trPr>
          <w:trHeight w:val="220" w:hRule="atLeast"/>
        </w:trPr>
        <w:tc>
          <w:tcPr>
            <w:tcBorders>
              <w:top w:color="000000" w:space="0" w:sz="0" w:val="nil"/>
              <w:bottom w:color="000000" w:space="0" w:sz="4" w:val="single"/>
            </w:tcBorders>
          </w:tcPr>
          <w:p w:rsidR="00000000" w:rsidDel="00000000" w:rsidP="00000000" w:rsidRDefault="00000000" w:rsidRPr="00000000" w14:paraId="00000017">
            <w:pPr>
              <w:numPr>
                <w:ilvl w:val="0"/>
                <w:numId w:val="1"/>
              </w:numPr>
              <w:ind w:left="0" w:firstLine="0"/>
              <w:jc w:val="both"/>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„j) taxa pe veniturile din pensii şi indemnizaţii pentru limită de vârstă.”</w:t>
            </w:r>
          </w:p>
        </w:tc>
        <w:tc>
          <w:tcPr>
            <w:vMerge w:val="continue"/>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c>
          <w:tcPr>
            <w:tcBorders>
              <w:bottom w:color="000000" w:space="0" w:sz="0" w:val="nil"/>
            </w:tcBorders>
          </w:tcPr>
          <w:p w:rsidR="00000000" w:rsidDel="00000000" w:rsidP="00000000" w:rsidRDefault="00000000" w:rsidRPr="00000000" w14:paraId="0000001B">
            <w:pPr>
              <w:numPr>
                <w:ilvl w:val="0"/>
                <w:numId w:val="1"/>
              </w:numPr>
              <w:ind w:left="0" w:firstLine="0"/>
              <w:jc w:val="both"/>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C">
            <w:pPr>
              <w:jc w:val="both"/>
              <w:rPr>
                <w:b w:val="1"/>
                <w:sz w:val="24"/>
                <w:szCs w:val="24"/>
              </w:rPr>
            </w:pPr>
            <w:r w:rsidDel="00000000" w:rsidR="00000000" w:rsidRPr="00000000">
              <w:rPr>
                <w:b w:val="1"/>
                <w:sz w:val="24"/>
                <w:szCs w:val="24"/>
                <w:rtl w:val="0"/>
              </w:rPr>
              <w:t xml:space="preserve">2. După  Titlul IV  „</w:t>
            </w:r>
            <w:r w:rsidDel="00000000" w:rsidR="00000000" w:rsidRPr="00000000">
              <w:rPr>
                <w:b w:val="1"/>
                <w:i w:val="1"/>
                <w:sz w:val="24"/>
                <w:szCs w:val="24"/>
                <w:rtl w:val="0"/>
              </w:rPr>
              <w:t xml:space="preserve">Impozitul pe venit</w:t>
            </w:r>
            <w:r w:rsidDel="00000000" w:rsidR="00000000" w:rsidRPr="00000000">
              <w:rPr>
                <w:b w:val="1"/>
                <w:sz w:val="24"/>
                <w:szCs w:val="24"/>
                <w:rtl w:val="0"/>
              </w:rPr>
              <w:t xml:space="preserve">”  se  introduce  un  nou titlu, Titlul IV</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w:t>
            </w:r>
            <w:r w:rsidDel="00000000" w:rsidR="00000000" w:rsidRPr="00000000">
              <w:rPr>
                <w:b w:val="1"/>
                <w:i w:val="1"/>
                <w:sz w:val="24"/>
                <w:szCs w:val="24"/>
                <w:rtl w:val="0"/>
              </w:rPr>
              <w:t xml:space="preserve">Taxa pe veniturile din pensii şi indemnizaţii pentru limită de vârstă</w:t>
            </w:r>
            <w:r w:rsidDel="00000000" w:rsidR="00000000" w:rsidRPr="00000000">
              <w:rPr>
                <w:b w:val="1"/>
                <w:sz w:val="24"/>
                <w:szCs w:val="24"/>
                <w:rtl w:val="0"/>
              </w:rPr>
              <w:t xml:space="preserve">” cuprinzând articolele 134</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- 134</w:t>
            </w:r>
            <w:r w:rsidDel="00000000" w:rsidR="00000000" w:rsidRPr="00000000">
              <w:rPr>
                <w:b w:val="1"/>
                <w:sz w:val="24"/>
                <w:szCs w:val="24"/>
                <w:vertAlign w:val="superscript"/>
                <w:rtl w:val="0"/>
              </w:rPr>
              <w:t xml:space="preserve">4</w:t>
            </w:r>
            <w:r w:rsidDel="00000000" w:rsidR="00000000" w:rsidRPr="00000000">
              <w:rPr>
                <w:b w:val="1"/>
                <w:sz w:val="24"/>
                <w:szCs w:val="24"/>
                <w:rtl w:val="0"/>
              </w:rPr>
              <w:t xml:space="preserve">, cu următorul cuprins:</w:t>
            </w:r>
          </w:p>
        </w:tc>
        <w:tc>
          <w:tcPr/>
          <w:p w:rsidR="00000000" w:rsidDel="00000000" w:rsidP="00000000" w:rsidRDefault="00000000" w:rsidRPr="00000000" w14:paraId="0000001D">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1E">
            <w:pPr>
              <w:rPr>
                <w:sz w:val="24"/>
                <w:szCs w:val="24"/>
              </w:rPr>
            </w:pPr>
            <w:r w:rsidDel="00000000" w:rsidR="00000000" w:rsidRPr="00000000">
              <w:rPr>
                <w:rtl w:val="0"/>
              </w:rPr>
            </w:r>
          </w:p>
        </w:tc>
      </w:tr>
      <w:tr>
        <w:tc>
          <w:tcPr>
            <w:tcBorders>
              <w:top w:color="000000" w:space="0" w:sz="0" w:val="nil"/>
            </w:tcBorders>
          </w:tcPr>
          <w:p w:rsidR="00000000" w:rsidDel="00000000" w:rsidP="00000000" w:rsidRDefault="00000000" w:rsidRPr="00000000" w14:paraId="0000001F">
            <w:pPr>
              <w:numPr>
                <w:ilvl w:val="0"/>
                <w:numId w:val="1"/>
              </w:numPr>
              <w:ind w:left="0" w:firstLine="0"/>
              <w:jc w:val="both"/>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20">
            <w:pPr>
              <w:jc w:val="both"/>
              <w:rPr>
                <w:b w:val="1"/>
                <w:sz w:val="24"/>
                <w:szCs w:val="24"/>
              </w:rPr>
            </w:pPr>
            <w:r w:rsidDel="00000000" w:rsidR="00000000" w:rsidRPr="00000000">
              <w:rPr>
                <w:b w:val="1"/>
                <w:sz w:val="24"/>
                <w:szCs w:val="24"/>
                <w:rtl w:val="0"/>
              </w:rPr>
              <w:t xml:space="preserve">„Titlul IV</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 Taxa pe veniturile din pensii şi indemnizaţii pentru limită de vârstă</w:t>
            </w:r>
          </w:p>
        </w:tc>
        <w:tc>
          <w:tcPr/>
          <w:p w:rsidR="00000000" w:rsidDel="00000000" w:rsidP="00000000" w:rsidRDefault="00000000" w:rsidRPr="00000000" w14:paraId="00000021">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22">
            <w:pPr>
              <w:rPr>
                <w:sz w:val="24"/>
                <w:szCs w:val="24"/>
              </w:rPr>
            </w:pPr>
            <w:r w:rsidDel="00000000" w:rsidR="00000000" w:rsidRPr="00000000">
              <w:rPr>
                <w:rtl w:val="0"/>
              </w:rPr>
            </w:r>
          </w:p>
        </w:tc>
      </w:tr>
      <w:tr>
        <w:tc>
          <w:tcPr/>
          <w:p w:rsidR="00000000" w:rsidDel="00000000" w:rsidP="00000000" w:rsidRDefault="00000000" w:rsidRPr="00000000" w14:paraId="00000023">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24">
            <w:pPr>
              <w:jc w:val="both"/>
              <w:rPr>
                <w:b w:val="1"/>
                <w:sz w:val="24"/>
                <w:szCs w:val="24"/>
              </w:rPr>
            </w:pPr>
            <w:r w:rsidDel="00000000" w:rsidR="00000000" w:rsidRPr="00000000">
              <w:rPr>
                <w:b w:val="1"/>
                <w:sz w:val="24"/>
                <w:szCs w:val="24"/>
                <w:rtl w:val="0"/>
              </w:rPr>
              <w:t xml:space="preserve">Art.134</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Categoria de contribuabili și sfera de cuprindere a taxei pe veniturile din pensii și indemnizații pentru limită de vârstă</w:t>
            </w:r>
          </w:p>
        </w:tc>
        <w:tc>
          <w:tcPr/>
          <w:p w:rsidR="00000000" w:rsidDel="00000000" w:rsidP="00000000" w:rsidRDefault="00000000" w:rsidRPr="00000000" w14:paraId="00000025">
            <w:pPr>
              <w:jc w:val="both"/>
              <w:rPr>
                <w:color w:val="ff0000"/>
                <w:sz w:val="24"/>
                <w:szCs w:val="24"/>
              </w:rPr>
            </w:pPr>
            <w:r w:rsidDel="00000000" w:rsidR="00000000" w:rsidRPr="00000000">
              <w:rPr>
                <w:sz w:val="24"/>
                <w:szCs w:val="24"/>
                <w:rtl w:val="0"/>
              </w:rPr>
              <w:t xml:space="preserve">Nemodificat</w:t>
            </w:r>
            <w:r w:rsidDel="00000000" w:rsidR="00000000" w:rsidRPr="00000000">
              <w:rPr>
                <w:rtl w:val="0"/>
              </w:rPr>
            </w:r>
          </w:p>
        </w:tc>
        <w:tc>
          <w:tcPr/>
          <w:p w:rsidR="00000000" w:rsidDel="00000000" w:rsidP="00000000" w:rsidRDefault="00000000" w:rsidRPr="00000000" w14:paraId="00000026">
            <w:pPr>
              <w:rPr>
                <w:sz w:val="24"/>
                <w:szCs w:val="24"/>
              </w:rPr>
            </w:pPr>
            <w:r w:rsidDel="00000000" w:rsidR="00000000" w:rsidRPr="00000000">
              <w:rPr>
                <w:rtl w:val="0"/>
              </w:rPr>
            </w:r>
          </w:p>
        </w:tc>
      </w:tr>
      <w:tr>
        <w:tc>
          <w:tcPr/>
          <w:p w:rsidR="00000000" w:rsidDel="00000000" w:rsidP="00000000" w:rsidRDefault="00000000" w:rsidRPr="00000000" w14:paraId="00000027">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(1) Persoanele fizice care realizează venituri din pensii și/sau indemnizații pentru limită de vârstă, primite în baza unor legi/statute speciale denumite în continuare contribuabili, sunt obligate la plata taxei pe veniturile din pensii și indemnizații pentru limită de vârstă, denumită în continuare taxă, </w:t>
            </w:r>
            <w:r w:rsidDel="00000000" w:rsidR="00000000" w:rsidRPr="00000000">
              <w:rPr>
                <w:b w:val="1"/>
                <w:sz w:val="24"/>
                <w:szCs w:val="24"/>
                <w:rtl w:val="0"/>
              </w:rPr>
              <w:t xml:space="preserve">cu respectarea principiului contributivității, așa cum este definit la art.2 lit.c) din Legea nr.263/2010 privind sistemul unitar de pensii publice, cu modificările și completările ulterioare.</w:t>
            </w:r>
            <w:r w:rsidDel="00000000" w:rsidR="00000000" w:rsidRPr="00000000">
              <w:rPr>
                <w:rtl w:val="0"/>
              </w:rPr>
            </w:r>
          </w:p>
        </w:tc>
        <w:tc>
          <w:tcPr/>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2A">
            <w:pPr>
              <w:rPr>
                <w:sz w:val="24"/>
                <w:szCs w:val="24"/>
              </w:rPr>
            </w:pPr>
            <w:r w:rsidDel="00000000" w:rsidR="00000000" w:rsidRPr="00000000">
              <w:rPr>
                <w:rtl w:val="0"/>
              </w:rPr>
            </w:r>
          </w:p>
        </w:tc>
      </w:tr>
      <w:tr>
        <w:tc>
          <w:tcPr/>
          <w:p w:rsidR="00000000" w:rsidDel="00000000" w:rsidP="00000000" w:rsidRDefault="00000000" w:rsidRPr="00000000" w14:paraId="0000002B">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(2) Taxa este datorată numai în situația în care venitul lunar din pensie și/sau indemnizație pentru limită de vârstă, de la unul sau mai mulți plătitori, după caz, din care se deduce impozitul pe venit aferent stabilit potrivit prevederilor Titlului IV, este mai mare decât suma netaxabilă </w:t>
            </w:r>
            <w:r w:rsidDel="00000000" w:rsidR="00000000" w:rsidRPr="00000000">
              <w:rPr>
                <w:b w:val="1"/>
                <w:sz w:val="24"/>
                <w:szCs w:val="24"/>
                <w:rtl w:val="0"/>
              </w:rPr>
              <w:t xml:space="preserve">de 7.000 lei, lunar. </w:t>
            </w:r>
            <w:r w:rsidDel="00000000" w:rsidR="00000000" w:rsidRPr="00000000">
              <w:rPr>
                <w:sz w:val="24"/>
                <w:szCs w:val="24"/>
                <w:rtl w:val="0"/>
              </w:rPr>
              <w:t xml:space="preserve">În situația în care, ca urmare a aplicării principiului contributivității, cuantumul pensiei din sistemul public depășește </w:t>
            </w:r>
            <w:r w:rsidDel="00000000" w:rsidR="00000000" w:rsidRPr="00000000">
              <w:rPr>
                <w:b w:val="1"/>
                <w:sz w:val="24"/>
                <w:szCs w:val="24"/>
                <w:rtl w:val="0"/>
              </w:rPr>
              <w:t xml:space="preserve">plafonul de 7.000 lei,</w:t>
            </w:r>
            <w:r w:rsidDel="00000000" w:rsidR="00000000" w:rsidRPr="00000000">
              <w:rPr>
                <w:sz w:val="24"/>
                <w:szCs w:val="24"/>
                <w:rtl w:val="0"/>
              </w:rPr>
              <w:t xml:space="preserve"> suma netaxabilă reprezintă nivelul acestui cuantum.  </w:t>
            </w:r>
          </w:p>
        </w:tc>
        <w:tc>
          <w:tcPr/>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2E">
            <w:pPr>
              <w:jc w:val="both"/>
              <w:rPr>
                <w:sz w:val="24"/>
                <w:szCs w:val="24"/>
              </w:rPr>
            </w:pPr>
            <w:r w:rsidDel="00000000" w:rsidR="00000000" w:rsidRPr="00000000">
              <w:rPr>
                <w:rtl w:val="0"/>
              </w:rPr>
            </w:r>
          </w:p>
        </w:tc>
      </w:tr>
      <w:tr>
        <w:tc>
          <w:tcPr/>
          <w:p w:rsidR="00000000" w:rsidDel="00000000" w:rsidP="00000000" w:rsidRDefault="00000000" w:rsidRPr="00000000" w14:paraId="0000002F">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(2) Taxa este datorată numai în situația în care venitul lunar din pensie și/sau indemnizație pentru limită de vârstă, de la unul sau mai mulți plătitori, după caz, din care se deduce impozitul pe venit aferent stabilit potrivit prevederilor Titlului IV, este mai mare decât suma netaxabilă de 7.000 lei, lunar. În situația în care, ca urmare a aplicării principiului contributivității, cuantumul pensiei din sistemul public depășește plafonul de 7.000 lei, suma netaxabilă reprezintă nivelul acestui cuantum.</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Nemodificat</w:t>
            </w:r>
            <w:r w:rsidDel="00000000" w:rsidR="00000000" w:rsidRPr="00000000">
              <w:rPr>
                <w:rtl w:val="0"/>
              </w:rPr>
            </w:r>
          </w:p>
        </w:tc>
        <w:tc>
          <w:tcPr/>
          <w:p w:rsidR="00000000" w:rsidDel="00000000" w:rsidP="00000000" w:rsidRDefault="00000000" w:rsidRPr="00000000" w14:paraId="00000032">
            <w:pPr>
              <w:jc w:val="both"/>
              <w:rPr>
                <w:sz w:val="24"/>
                <w:szCs w:val="24"/>
              </w:rPr>
            </w:pPr>
            <w:r w:rsidDel="00000000" w:rsidR="00000000" w:rsidRPr="00000000">
              <w:rPr>
                <w:rtl w:val="0"/>
              </w:rPr>
            </w:r>
          </w:p>
        </w:tc>
      </w:tr>
      <w:tr>
        <w:tc>
          <w:tcPr>
            <w:tcBorders>
              <w:bottom w:color="000000" w:space="0" w:sz="0" w:val="nil"/>
            </w:tcBorders>
          </w:tcPr>
          <w:p w:rsidR="00000000" w:rsidDel="00000000" w:rsidP="00000000" w:rsidRDefault="00000000" w:rsidRPr="00000000" w14:paraId="00000033">
            <w:pPr>
              <w:numPr>
                <w:ilvl w:val="0"/>
                <w:numId w:val="1"/>
              </w:numPr>
              <w:ind w:left="0" w:firstLine="0"/>
              <w:jc w:val="both"/>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(3) În înţelesul prezentului titlu, veniturile pentru care se datorează taxa reprezintă sume primite în baza următoarelor legi/statute speciale:</w:t>
            </w:r>
          </w:p>
        </w:tc>
        <w:tc>
          <w:tcPr>
            <w:tcBorders>
              <w:bottom w:color="000000" w:space="0" w:sz="0" w:val="nil"/>
            </w:tcBorders>
          </w:tcPr>
          <w:p w:rsidR="00000000" w:rsidDel="00000000" w:rsidP="00000000" w:rsidRDefault="00000000" w:rsidRPr="00000000" w14:paraId="00000035">
            <w:pPr>
              <w:rPr>
                <w:sz w:val="24"/>
                <w:szCs w:val="24"/>
              </w:rPr>
            </w:pPr>
            <w:r w:rsidDel="00000000" w:rsidR="00000000" w:rsidRPr="00000000">
              <w:rPr>
                <w:sz w:val="24"/>
                <w:szCs w:val="24"/>
                <w:rtl w:val="0"/>
              </w:rPr>
              <w:t xml:space="preserve">Nemodificat</w:t>
            </w:r>
          </w:p>
        </w:tc>
        <w:tc>
          <w:tcPr>
            <w:tcBorders>
              <w:bottom w:color="000000" w:space="0" w:sz="0" w:val="nil"/>
            </w:tcBorders>
          </w:tcPr>
          <w:p w:rsidR="00000000" w:rsidDel="00000000" w:rsidP="00000000" w:rsidRDefault="00000000" w:rsidRPr="00000000" w14:paraId="00000036">
            <w:pPr>
              <w:rPr>
                <w:sz w:val="24"/>
                <w:szCs w:val="24"/>
              </w:rPr>
            </w:pPr>
            <w:r w:rsidDel="00000000" w:rsidR="00000000" w:rsidRPr="00000000">
              <w:rPr>
                <w:rtl w:val="0"/>
              </w:rPr>
            </w:r>
          </w:p>
        </w:tc>
      </w:tr>
      <w:tr>
        <w:tc>
          <w:tcPr/>
          <w:p w:rsidR="00000000" w:rsidDel="00000000" w:rsidP="00000000" w:rsidRDefault="00000000" w:rsidRPr="00000000" w14:paraId="00000037">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38">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a) pensia de serviciu prevăzută de Legea nr.94/1992 privind organizarea şi funcţionarea Curţii de Conturi, republicată, cu modificările şi completările ulterioare;</w:t>
            </w:r>
          </w:p>
        </w:tc>
        <w:tc>
          <w:tcPr/>
          <w:p w:rsidR="00000000" w:rsidDel="00000000" w:rsidP="00000000" w:rsidRDefault="00000000" w:rsidRPr="00000000" w14:paraId="00000039">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3A">
            <w:pPr>
              <w:jc w:val="both"/>
              <w:rPr>
                <w:sz w:val="24"/>
                <w:szCs w:val="24"/>
              </w:rPr>
            </w:pPr>
            <w:r w:rsidDel="00000000" w:rsidR="00000000" w:rsidRPr="00000000">
              <w:rPr>
                <w:rtl w:val="0"/>
              </w:rPr>
            </w:r>
          </w:p>
        </w:tc>
      </w:tr>
      <w:tr>
        <w:tc>
          <w:tcPr/>
          <w:p w:rsidR="00000000" w:rsidDel="00000000" w:rsidP="00000000" w:rsidRDefault="00000000" w:rsidRPr="00000000" w14:paraId="0000003B">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3C">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b) pensia de serviciu prevăzută de Legea nr.47/1992 privind organizarea şi funcţionarea Curţii Constituţionale, republicată, cu modificările şi completările ulterioare;</w:t>
            </w:r>
          </w:p>
        </w:tc>
        <w:tc>
          <w:tcPr/>
          <w:p w:rsidR="00000000" w:rsidDel="00000000" w:rsidP="00000000" w:rsidRDefault="00000000" w:rsidRPr="00000000" w14:paraId="0000003D">
            <w:pPr>
              <w:jc w:val="both"/>
              <w:rPr>
                <w:color w:val="ff0000"/>
                <w:sz w:val="24"/>
                <w:szCs w:val="24"/>
              </w:rPr>
            </w:pPr>
            <w:r w:rsidDel="00000000" w:rsidR="00000000" w:rsidRPr="00000000">
              <w:rPr>
                <w:sz w:val="24"/>
                <w:szCs w:val="24"/>
                <w:rtl w:val="0"/>
              </w:rPr>
              <w:t xml:space="preserve">Nemodificat</w:t>
            </w:r>
            <w:r w:rsidDel="00000000" w:rsidR="00000000" w:rsidRPr="00000000">
              <w:rPr>
                <w:rtl w:val="0"/>
              </w:rPr>
            </w:r>
          </w:p>
        </w:tc>
        <w:tc>
          <w:tcPr/>
          <w:p w:rsidR="00000000" w:rsidDel="00000000" w:rsidP="00000000" w:rsidRDefault="00000000" w:rsidRPr="00000000" w14:paraId="0000003E">
            <w:pPr>
              <w:jc w:val="both"/>
              <w:rPr>
                <w:sz w:val="24"/>
                <w:szCs w:val="24"/>
              </w:rPr>
            </w:pPr>
            <w:r w:rsidDel="00000000" w:rsidR="00000000" w:rsidRPr="00000000">
              <w:rPr>
                <w:rtl w:val="0"/>
              </w:rPr>
            </w:r>
          </w:p>
        </w:tc>
      </w:tr>
      <w:tr>
        <w:tc>
          <w:tcPr/>
          <w:p w:rsidR="00000000" w:rsidDel="00000000" w:rsidP="00000000" w:rsidRDefault="00000000" w:rsidRPr="00000000" w14:paraId="0000003F">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40">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c) pensia de serviciu prevăzută de Legea nr.303/2004 privind statutul judecătorilor şi procurorilor, republicată, cu modificările şi completările ulterioare;</w:t>
            </w:r>
          </w:p>
        </w:tc>
        <w:tc>
          <w:tcPr/>
          <w:p w:rsidR="00000000" w:rsidDel="00000000" w:rsidP="00000000" w:rsidRDefault="00000000" w:rsidRPr="00000000" w14:paraId="00000041">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42">
            <w:pPr>
              <w:rPr>
                <w:sz w:val="24"/>
                <w:szCs w:val="24"/>
              </w:rPr>
            </w:pPr>
            <w:r w:rsidDel="00000000" w:rsidR="00000000" w:rsidRPr="00000000">
              <w:rPr>
                <w:rtl w:val="0"/>
              </w:rPr>
            </w:r>
          </w:p>
        </w:tc>
      </w:tr>
      <w:tr>
        <w:tc>
          <w:tcPr/>
          <w:p w:rsidR="00000000" w:rsidDel="00000000" w:rsidP="00000000" w:rsidRDefault="00000000" w:rsidRPr="00000000" w14:paraId="00000043">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44">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d) pensia de serviciu prevăzută de Legea nr.567/2004 privind statutul personalului auxiliar de specialitate al instanţelor judecătoreşti şi al parchetelor de pe lângă acestea şi al personalului care funcţionează în cadrul Institutului Național de Expertize Criminalistice, cu modificările şi completările ulterioare;</w:t>
            </w:r>
          </w:p>
        </w:tc>
        <w:tc>
          <w:tcPr/>
          <w:p w:rsidR="00000000" w:rsidDel="00000000" w:rsidP="00000000" w:rsidRDefault="00000000" w:rsidRPr="00000000" w14:paraId="00000045">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46">
            <w:pPr>
              <w:rPr>
                <w:sz w:val="24"/>
                <w:szCs w:val="24"/>
              </w:rPr>
            </w:pPr>
            <w:r w:rsidDel="00000000" w:rsidR="00000000" w:rsidRPr="00000000">
              <w:rPr>
                <w:rtl w:val="0"/>
              </w:rPr>
            </w:r>
          </w:p>
        </w:tc>
      </w:tr>
      <w:tr>
        <w:tc>
          <w:tcPr>
            <w:tcBorders>
              <w:bottom w:color="000000" w:space="0" w:sz="0" w:val="nil"/>
            </w:tcBorders>
          </w:tcPr>
          <w:p w:rsidR="00000000" w:rsidDel="00000000" w:rsidP="00000000" w:rsidRDefault="00000000" w:rsidRPr="00000000" w14:paraId="00000047">
            <w:pPr>
              <w:numPr>
                <w:ilvl w:val="0"/>
                <w:numId w:val="1"/>
              </w:numPr>
              <w:ind w:left="0" w:firstLine="0"/>
              <w:jc w:val="both"/>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48">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e) pensia de serviciu prevăzută de Legea nr.7/2006 privind statutul funcţionarului public parlamentar, republicată, cu modificările şi completările ulterioare;</w:t>
            </w:r>
          </w:p>
        </w:tc>
        <w:tc>
          <w:tcPr>
            <w:tcBorders>
              <w:bottom w:color="000000" w:space="0" w:sz="0" w:val="nil"/>
            </w:tcBorders>
          </w:tcPr>
          <w:p w:rsidR="00000000" w:rsidDel="00000000" w:rsidP="00000000" w:rsidRDefault="00000000" w:rsidRPr="00000000" w14:paraId="00000049">
            <w:pPr>
              <w:jc w:val="both"/>
              <w:rPr>
                <w:color w:val="ff0000"/>
                <w:sz w:val="24"/>
                <w:szCs w:val="24"/>
              </w:rPr>
            </w:pPr>
            <w:r w:rsidDel="00000000" w:rsidR="00000000" w:rsidRPr="00000000">
              <w:rPr>
                <w:sz w:val="24"/>
                <w:szCs w:val="24"/>
                <w:rtl w:val="0"/>
              </w:rPr>
              <w:t xml:space="preserve">Nemodificat</w:t>
            </w:r>
            <w:r w:rsidDel="00000000" w:rsidR="00000000" w:rsidRPr="00000000">
              <w:rPr>
                <w:rtl w:val="0"/>
              </w:rPr>
            </w:r>
          </w:p>
        </w:tc>
        <w:tc>
          <w:tcPr>
            <w:tcBorders>
              <w:bottom w:color="000000" w:space="0" w:sz="0" w:val="nil"/>
            </w:tcBorders>
          </w:tcPr>
          <w:p w:rsidR="00000000" w:rsidDel="00000000" w:rsidP="00000000" w:rsidRDefault="00000000" w:rsidRPr="00000000" w14:paraId="0000004A">
            <w:pPr>
              <w:rPr>
                <w:sz w:val="24"/>
                <w:szCs w:val="24"/>
              </w:rPr>
            </w:pPr>
            <w:r w:rsidDel="00000000" w:rsidR="00000000" w:rsidRPr="00000000">
              <w:rPr>
                <w:rtl w:val="0"/>
              </w:rPr>
            </w:r>
          </w:p>
        </w:tc>
      </w:tr>
      <w:tr>
        <w:tc>
          <w:tcPr/>
          <w:p w:rsidR="00000000" w:rsidDel="00000000" w:rsidP="00000000" w:rsidRDefault="00000000" w:rsidRPr="00000000" w14:paraId="0000004B">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4C">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f) indemnizaţia pentru limită de vârstă prevăzută de Legea nr.96/2006 privind Statutul deputaţilor şi al senatorilor, republicată, cu modificările şi completările ulterioare;</w:t>
            </w:r>
          </w:p>
        </w:tc>
        <w:tc>
          <w:tcPr/>
          <w:p w:rsidR="00000000" w:rsidDel="00000000" w:rsidP="00000000" w:rsidRDefault="00000000" w:rsidRPr="00000000" w14:paraId="0000004D">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4E">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4F">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50">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g) pensia de serviciu prevăzută de Legea nr.223/2007 privind Statutul personalului aeronautic civil navigant profesionist din aviaţia civilă din România, cu modificările şi completările ulterioare;</w:t>
            </w:r>
          </w:p>
        </w:tc>
        <w:tc>
          <w:tcPr/>
          <w:p w:rsidR="00000000" w:rsidDel="00000000" w:rsidP="00000000" w:rsidRDefault="00000000" w:rsidRPr="00000000" w14:paraId="00000051">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52">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53">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54">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h) pensia de serviciu prevăzută de Legea nr.216/2015 privind acordarea pensiei de serviciu membrilor Corpului diplomatic şi consular al României, cu modificările ulterioare;</w:t>
            </w:r>
          </w:p>
        </w:tc>
        <w:tc>
          <w:tcPr/>
          <w:p w:rsidR="00000000" w:rsidDel="00000000" w:rsidP="00000000" w:rsidRDefault="00000000" w:rsidRPr="00000000" w14:paraId="00000055">
            <w:pPr>
              <w:jc w:val="both"/>
              <w:rPr>
                <w:color w:val="ff0000"/>
                <w:sz w:val="24"/>
                <w:szCs w:val="24"/>
              </w:rPr>
            </w:pPr>
            <w:r w:rsidDel="00000000" w:rsidR="00000000" w:rsidRPr="00000000">
              <w:rPr>
                <w:sz w:val="24"/>
                <w:szCs w:val="24"/>
                <w:rtl w:val="0"/>
              </w:rPr>
              <w:t xml:space="preserve">Nemodificat</w:t>
            </w:r>
            <w:r w:rsidDel="00000000" w:rsidR="00000000" w:rsidRPr="00000000">
              <w:rPr>
                <w:rtl w:val="0"/>
              </w:rPr>
            </w:r>
          </w:p>
        </w:tc>
        <w:tc>
          <w:tcPr/>
          <w:p w:rsidR="00000000" w:rsidDel="00000000" w:rsidP="00000000" w:rsidRDefault="00000000" w:rsidRPr="00000000" w14:paraId="00000056">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57">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58">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i) pensii militare prevăzute de Legea nr.223/2015 privind pensiile militare de stat, cu modificările şi completările ulterioare;</w:t>
            </w:r>
          </w:p>
        </w:tc>
        <w:tc>
          <w:tcPr/>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5A">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5B">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5C">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j) indemnizaţia pentru limită de vârstă prevăzută de Ordonanţa de urgenţă a Guvernului nr.57/2019 privind Codul administrativ, cu completările ulterioare;</w:t>
            </w:r>
          </w:p>
        </w:tc>
        <w:tc>
          <w:tcPr/>
          <w:p w:rsidR="00000000" w:rsidDel="00000000" w:rsidP="00000000" w:rsidRDefault="00000000" w:rsidRPr="00000000" w14:paraId="0000005D">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5E">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5F">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60">
            <w:pPr>
              <w:jc w:val="both"/>
              <w:rPr>
                <w:sz w:val="24"/>
                <w:szCs w:val="24"/>
              </w:rPr>
            </w:pPr>
            <w:r w:rsidDel="00000000" w:rsidR="00000000" w:rsidRPr="00000000">
              <w:rPr>
                <w:color w:val="000000"/>
                <w:sz w:val="24"/>
                <w:szCs w:val="24"/>
                <w:rtl w:val="0"/>
              </w:rPr>
              <w:t xml:space="preserve">k) indemnizaţia lunară acordată persoanelor care au avut calitatea de şef al statului român prevăzută de Legea nr.406/2001 privind acordarea unor drepturi persoanelor care au avut calitatea de șef al statului român, cu modificările și completările ulterioare.</w:t>
            </w:r>
            <w:r w:rsidDel="00000000" w:rsidR="00000000" w:rsidRPr="00000000">
              <w:rPr>
                <w:rtl w:val="0"/>
              </w:rPr>
            </w:r>
          </w:p>
        </w:tc>
        <w:tc>
          <w:tcPr/>
          <w:p w:rsidR="00000000" w:rsidDel="00000000" w:rsidP="00000000" w:rsidRDefault="00000000" w:rsidRPr="00000000" w14:paraId="00000061">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62">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63">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64">
            <w:pPr>
              <w:jc w:val="both"/>
              <w:rPr>
                <w:b w:val="1"/>
                <w:color w:val="000000"/>
                <w:sz w:val="24"/>
                <w:szCs w:val="24"/>
              </w:rPr>
            </w:pPr>
            <w:r w:rsidDel="00000000" w:rsidR="00000000" w:rsidRPr="00000000">
              <w:rPr>
                <w:b w:val="1"/>
                <w:color w:val="000000"/>
                <w:sz w:val="24"/>
                <w:szCs w:val="24"/>
                <w:rtl w:val="0"/>
              </w:rPr>
              <w:t xml:space="preserve">Art.134</w:t>
            </w:r>
            <w:r w:rsidDel="00000000" w:rsidR="00000000" w:rsidRPr="00000000">
              <w:rPr>
                <w:b w:val="1"/>
                <w:color w:val="000000"/>
                <w:sz w:val="24"/>
                <w:szCs w:val="24"/>
                <w:vertAlign w:val="superscript"/>
                <w:rtl w:val="0"/>
              </w:rPr>
              <w:t xml:space="preserve">2</w:t>
            </w:r>
            <w:r w:rsidDel="00000000" w:rsidR="00000000" w:rsidRPr="00000000">
              <w:rPr>
                <w:b w:val="1"/>
                <w:color w:val="000000"/>
                <w:sz w:val="24"/>
                <w:szCs w:val="24"/>
                <w:rtl w:val="0"/>
              </w:rPr>
              <w:t xml:space="preserve">.- Stabilirea bazei de calcul din pensii şi indemnizaţii pentru limită de vârstă</w:t>
            </w:r>
          </w:p>
        </w:tc>
        <w:tc>
          <w:tcPr/>
          <w:p w:rsidR="00000000" w:rsidDel="00000000" w:rsidP="00000000" w:rsidRDefault="00000000" w:rsidRPr="00000000" w14:paraId="00000065">
            <w:pPr>
              <w:jc w:val="both"/>
              <w:rPr>
                <w:color w:val="ff0000"/>
                <w:sz w:val="24"/>
                <w:szCs w:val="24"/>
              </w:rPr>
            </w:pPr>
            <w:r w:rsidDel="00000000" w:rsidR="00000000" w:rsidRPr="00000000">
              <w:rPr>
                <w:sz w:val="24"/>
                <w:szCs w:val="24"/>
                <w:rtl w:val="0"/>
              </w:rPr>
              <w:t xml:space="preserve">Nemodificat</w:t>
            </w:r>
            <w:r w:rsidDel="00000000" w:rsidR="00000000" w:rsidRPr="00000000">
              <w:rPr>
                <w:rtl w:val="0"/>
              </w:rPr>
            </w:r>
          </w:p>
        </w:tc>
        <w:tc>
          <w:tcPr/>
          <w:p w:rsidR="00000000" w:rsidDel="00000000" w:rsidP="00000000" w:rsidRDefault="00000000" w:rsidRPr="00000000" w14:paraId="00000066">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67">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68">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(1) Baza de calcul, denumită venitul lunar taxabil, se determină prin deducerea din venitul din pensie sau indemnizaţie pentru limită de vârstă, a impozitului pe venit aferent, stabilit potrivit prevederilor Titlului IV. </w:t>
            </w:r>
          </w:p>
        </w:tc>
        <w:tc>
          <w:tcPr/>
          <w:p w:rsidR="00000000" w:rsidDel="00000000" w:rsidP="00000000" w:rsidRDefault="00000000" w:rsidRPr="00000000" w14:paraId="00000069">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6A">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6B">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6C">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(2) În cazul contribuabililor care realizează venituri de la mai mulți plătitori, dintre cele prevăzute la art.134</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alin.(3), venitul lunar taxabil se determină prin deducerea din veniturile lunare cumulate din pensie și/sau indemnizație pentru limită de vârstă, a impozitului pe venit aferent calculat și reținut, de către fiecare plătitor de venit, potrivit prevederilor Titlului IV.</w:t>
            </w:r>
          </w:p>
        </w:tc>
        <w:tc>
          <w:tcPr/>
          <w:p w:rsidR="00000000" w:rsidDel="00000000" w:rsidP="00000000" w:rsidRDefault="00000000" w:rsidRPr="00000000" w14:paraId="0000006D">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6E">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6F">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70">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(3) În cazul contribuabililor care realizează lunar venituri cumulate, de la mai mulţi plătitori, în vederea stabilirii venitului lunar taxabil în situaţia prevăzută la alin.(2), contribuabilii au obligaţia de a depune o declaraţie pe proprie răspundere, astfel:</w:t>
            </w:r>
          </w:p>
        </w:tc>
        <w:tc>
          <w:tcPr/>
          <w:p w:rsidR="00000000" w:rsidDel="00000000" w:rsidP="00000000" w:rsidRDefault="00000000" w:rsidRPr="00000000" w14:paraId="00000071">
            <w:pPr>
              <w:jc w:val="both"/>
              <w:rPr>
                <w:color w:val="ff0000"/>
                <w:sz w:val="24"/>
                <w:szCs w:val="24"/>
              </w:rPr>
            </w:pPr>
            <w:r w:rsidDel="00000000" w:rsidR="00000000" w:rsidRPr="00000000">
              <w:rPr>
                <w:sz w:val="24"/>
                <w:szCs w:val="24"/>
                <w:rtl w:val="0"/>
              </w:rPr>
              <w:t xml:space="preserve">Nemodificat</w:t>
            </w:r>
            <w:r w:rsidDel="00000000" w:rsidR="00000000" w:rsidRPr="00000000">
              <w:rPr>
                <w:rtl w:val="0"/>
              </w:rPr>
            </w:r>
          </w:p>
        </w:tc>
        <w:tc>
          <w:tcPr/>
          <w:p w:rsidR="00000000" w:rsidDel="00000000" w:rsidP="00000000" w:rsidRDefault="00000000" w:rsidRPr="00000000" w14:paraId="00000072">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73">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74">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(i) la casa de pensii sectorială, în cazul în care cel puţin unul dintre plătitorii de venituri din pensii şi/sau indemnizaţii pentru limită de vârstă este o casă de pensii sectorială;</w:t>
            </w:r>
          </w:p>
        </w:tc>
        <w:tc>
          <w:tcPr/>
          <w:p w:rsidR="00000000" w:rsidDel="00000000" w:rsidP="00000000" w:rsidRDefault="00000000" w:rsidRPr="00000000" w14:paraId="00000075">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76">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77">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78">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(ii) la casa de pensii publice teritorială sau a municipiului Bucureşti, după caz, în celelalte situaţii.</w:t>
            </w:r>
          </w:p>
        </w:tc>
        <w:tc>
          <w:tcPr/>
          <w:p w:rsidR="00000000" w:rsidDel="00000000" w:rsidP="00000000" w:rsidRDefault="00000000" w:rsidRPr="00000000" w14:paraId="00000079">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7A">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7B">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7C">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(4) Declarația prevăzută la alin.(3) cuprinde în mod obligatoriu cel puțin următoarele elemente: datele de identificare ale contribuabilului, informații referitoare la nivelul venitului din pensia și/sau indemnizația pentru limită de vârstă primită, inclusiv informații privind componenta stabilită conform principiului contributivității,  precum și plătitorul de venit.</w:t>
            </w:r>
          </w:p>
        </w:tc>
        <w:tc>
          <w:tcPr/>
          <w:p w:rsidR="00000000" w:rsidDel="00000000" w:rsidP="00000000" w:rsidRDefault="00000000" w:rsidRPr="00000000" w14:paraId="0000007D">
            <w:pPr>
              <w:jc w:val="both"/>
              <w:rPr>
                <w:color w:val="ff0000"/>
                <w:sz w:val="24"/>
                <w:szCs w:val="24"/>
              </w:rPr>
            </w:pPr>
            <w:r w:rsidDel="00000000" w:rsidR="00000000" w:rsidRPr="00000000">
              <w:rPr>
                <w:sz w:val="24"/>
                <w:szCs w:val="24"/>
                <w:rtl w:val="0"/>
              </w:rPr>
              <w:t xml:space="preserve">Nemodificat</w:t>
            </w:r>
            <w:r w:rsidDel="00000000" w:rsidR="00000000" w:rsidRPr="00000000">
              <w:rPr>
                <w:rtl w:val="0"/>
              </w:rPr>
            </w:r>
          </w:p>
        </w:tc>
        <w:tc>
          <w:tcPr/>
          <w:p w:rsidR="00000000" w:rsidDel="00000000" w:rsidP="00000000" w:rsidRDefault="00000000" w:rsidRPr="00000000" w14:paraId="0000007E">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7F">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80">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(5) Contribuabilul depune declarația pe propria răspundere prevăzută la alin.(3) însoțită de documente justificative eliberate de fiecare plătitor, din care rezultă nivelul venitului reprezentând pensia și/sau indemnizația pentru limită de vârstă primită, impozitul pe venit aferent, calculat și reținut, precum și taxa calculată și reținută, după caz.</w:t>
            </w:r>
          </w:p>
        </w:tc>
        <w:tc>
          <w:tcPr/>
          <w:p w:rsidR="00000000" w:rsidDel="00000000" w:rsidP="00000000" w:rsidRDefault="00000000" w:rsidRPr="00000000" w14:paraId="00000081">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82">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83">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84">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(6) Declaraţia prevăzută la alin.(4), însoţită de documentele justificative se depune la plătitorul de venit prevăzut la alin.(3), până la data de 15 a primei luni de aplicare a prevederilor prezentului titlu, iar în cazul modificării drepturilor de pensie şi/sau indemnizaţie pentru limită de vârstă primită, până la data de 15 a lunii următoare celei în care se efectuează plata venitului din pensia şi/sau indemnizaţia pentru limită de vârstă primită, ori de câte ori se modifică aceste drepturi.</w:t>
            </w:r>
          </w:p>
        </w:tc>
        <w:tc>
          <w:tcPr/>
          <w:p w:rsidR="00000000" w:rsidDel="00000000" w:rsidP="00000000" w:rsidRDefault="00000000" w:rsidRPr="00000000" w14:paraId="00000085">
            <w:pPr>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86">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87">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88">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(7) Pe baza declaraţiei şi a documentelor justificative depuse de contribuabili conform alin.(6), plătitorul de venit prevăzut la alin.(3) recalculează venitul lunar taxabil până la sfârşitul lunii următoare celei în care se efectuează plata venitului din pensia şi/sau indemnizaţia pentru limită de vârstă primită.</w:t>
            </w:r>
          </w:p>
        </w:tc>
        <w:tc>
          <w:tcPr/>
          <w:p w:rsidR="00000000" w:rsidDel="00000000" w:rsidP="00000000" w:rsidRDefault="00000000" w:rsidRPr="00000000" w14:paraId="00000089">
            <w:pPr>
              <w:jc w:val="both"/>
              <w:rPr>
                <w:color w:val="ff0000"/>
                <w:sz w:val="24"/>
                <w:szCs w:val="24"/>
              </w:rPr>
            </w:pPr>
            <w:r w:rsidDel="00000000" w:rsidR="00000000" w:rsidRPr="00000000">
              <w:rPr>
                <w:sz w:val="24"/>
                <w:szCs w:val="24"/>
                <w:rtl w:val="0"/>
              </w:rPr>
              <w:t xml:space="preserve">Nemodificat</w:t>
            </w:r>
            <w:r w:rsidDel="00000000" w:rsidR="00000000" w:rsidRPr="00000000">
              <w:rPr>
                <w:rtl w:val="0"/>
              </w:rPr>
            </w:r>
          </w:p>
        </w:tc>
        <w:tc>
          <w:tcPr/>
          <w:p w:rsidR="00000000" w:rsidDel="00000000" w:rsidP="00000000" w:rsidRDefault="00000000" w:rsidRPr="00000000" w14:paraId="0000008A">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8B">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8C">
            <w:pPr>
              <w:tabs>
                <w:tab w:val="left" w:pos="567"/>
                <w:tab w:val="left" w:pos="993"/>
                <w:tab w:val="left" w:pos="1560"/>
                <w:tab w:val="left" w:pos="2127"/>
              </w:tabs>
              <w:spacing w:line="276" w:lineRule="auto"/>
              <w:jc w:val="both"/>
              <w:rPr>
                <w:b w:val="1"/>
                <w:color w:val="000000"/>
                <w:sz w:val="24"/>
                <w:szCs w:val="24"/>
              </w:rPr>
            </w:pPr>
            <w:r w:rsidDel="00000000" w:rsidR="00000000" w:rsidRPr="00000000">
              <w:rPr>
                <w:b w:val="1"/>
                <w:color w:val="000000"/>
                <w:sz w:val="24"/>
                <w:szCs w:val="24"/>
                <w:rtl w:val="0"/>
              </w:rPr>
              <w:t xml:space="preserve">Art.134</w:t>
            </w:r>
            <w:r w:rsidDel="00000000" w:rsidR="00000000" w:rsidRPr="00000000">
              <w:rPr>
                <w:b w:val="1"/>
                <w:color w:val="000000"/>
                <w:sz w:val="24"/>
                <w:szCs w:val="24"/>
                <w:vertAlign w:val="superscript"/>
                <w:rtl w:val="0"/>
              </w:rPr>
              <w:t xml:space="preserve">3</w:t>
            </w:r>
            <w:r w:rsidDel="00000000" w:rsidR="00000000" w:rsidRPr="00000000">
              <w:rPr>
                <w:b w:val="1"/>
                <w:color w:val="000000"/>
                <w:sz w:val="24"/>
                <w:szCs w:val="24"/>
                <w:rtl w:val="0"/>
              </w:rPr>
              <w:t xml:space="preserve">.- Calculul, reţinerea, plata şi declararea taxei pe veniturile din pensii şi indemnizaţii pentru limită de vârstă</w:t>
            </w:r>
          </w:p>
        </w:tc>
        <w:tc>
          <w:tcPr/>
          <w:p w:rsidR="00000000" w:rsidDel="00000000" w:rsidP="00000000" w:rsidRDefault="00000000" w:rsidRPr="00000000" w14:paraId="0000008D">
            <w:pPr>
              <w:jc w:val="both"/>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8E">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8F">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90">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(1) Plătitorii de venituri din pensii şi/sau indemnizaţii pentru limită de vârstă au obligaţia lunară, de a calcula, reţine, declara şi plăti taxa la bugetul de stat.</w:t>
            </w:r>
          </w:p>
        </w:tc>
        <w:tc>
          <w:tcPr/>
          <w:p w:rsidR="00000000" w:rsidDel="00000000" w:rsidP="00000000" w:rsidRDefault="00000000" w:rsidRPr="00000000" w14:paraId="00000091">
            <w:pPr>
              <w:jc w:val="both"/>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92">
            <w:pPr>
              <w:jc w:val="both"/>
              <w:rPr>
                <w:sz w:val="24"/>
                <w:szCs w:val="24"/>
              </w:rPr>
            </w:pPr>
            <w:r w:rsidDel="00000000" w:rsidR="00000000" w:rsidRPr="00000000">
              <w:rPr>
                <w:rtl w:val="0"/>
              </w:rPr>
            </w:r>
          </w:p>
        </w:tc>
      </w:tr>
      <w:tr>
        <w:trPr>
          <w:trHeight w:val="60" w:hRule="atLeast"/>
        </w:trPr>
        <w:tc>
          <w:tcPr>
            <w:tcBorders>
              <w:bottom w:color="000000" w:space="0" w:sz="0" w:val="nil"/>
            </w:tcBorders>
          </w:tcPr>
          <w:p w:rsidR="00000000" w:rsidDel="00000000" w:rsidP="00000000" w:rsidRDefault="00000000" w:rsidRPr="00000000" w14:paraId="00000093">
            <w:pPr>
              <w:numPr>
                <w:ilvl w:val="0"/>
                <w:numId w:val="1"/>
              </w:numPr>
              <w:ind w:left="0" w:firstLine="0"/>
              <w:jc w:val="both"/>
              <w:rPr/>
            </w:pPr>
            <w:r w:rsidDel="00000000" w:rsidR="00000000" w:rsidRPr="00000000">
              <w:rPr>
                <w:rtl w:val="0"/>
              </w:rPr>
            </w:r>
          </w:p>
        </w:tc>
        <w:tc>
          <w:tcPr>
            <w:vMerge w:val="restart"/>
            <w:shd w:fill="auto" w:val="clear"/>
          </w:tcPr>
          <w:p w:rsidR="00000000" w:rsidDel="00000000" w:rsidP="00000000" w:rsidRDefault="00000000" w:rsidRPr="00000000" w14:paraId="00000094">
            <w:pPr>
              <w:tabs>
                <w:tab w:val="left" w:pos="567"/>
                <w:tab w:val="left" w:pos="993"/>
                <w:tab w:val="left" w:pos="1560"/>
                <w:tab w:val="left" w:pos="2127"/>
              </w:tabs>
              <w:jc w:val="both"/>
              <w:rPr>
                <w:color w:val="000000"/>
                <w:sz w:val="24"/>
                <w:szCs w:val="24"/>
              </w:rPr>
            </w:pPr>
            <w:r w:rsidDel="00000000" w:rsidR="00000000" w:rsidRPr="00000000">
              <w:rPr>
                <w:rtl w:val="0"/>
              </w:rPr>
            </w:r>
          </w:p>
          <w:p w:rsidR="00000000" w:rsidDel="00000000" w:rsidP="00000000" w:rsidRDefault="00000000" w:rsidRPr="00000000" w14:paraId="00000095">
            <w:pPr>
              <w:tabs>
                <w:tab w:val="left" w:pos="567"/>
                <w:tab w:val="left" w:pos="993"/>
                <w:tab w:val="left" w:pos="1560"/>
                <w:tab w:val="left" w:pos="2127"/>
              </w:tabs>
              <w:jc w:val="both"/>
              <w:rPr>
                <w:color w:val="000000"/>
                <w:sz w:val="24"/>
                <w:szCs w:val="24"/>
              </w:rPr>
            </w:pPr>
            <w:r w:rsidDel="00000000" w:rsidR="00000000" w:rsidRPr="00000000">
              <w:rPr>
                <w:rtl w:val="0"/>
              </w:rPr>
            </w:r>
          </w:p>
          <w:p w:rsidR="00000000" w:rsidDel="00000000" w:rsidP="00000000" w:rsidRDefault="00000000" w:rsidRPr="00000000" w14:paraId="00000096">
            <w:pPr>
              <w:tabs>
                <w:tab w:val="left" w:pos="567"/>
                <w:tab w:val="left" w:pos="993"/>
                <w:tab w:val="left" w:pos="1560"/>
                <w:tab w:val="left" w:pos="2127"/>
              </w:tabs>
              <w:jc w:val="both"/>
              <w:rPr>
                <w:color w:val="000000"/>
                <w:sz w:val="24"/>
                <w:szCs w:val="24"/>
              </w:rPr>
            </w:pPr>
            <w:r w:rsidDel="00000000" w:rsidR="00000000" w:rsidRPr="00000000">
              <w:rPr>
                <w:rtl w:val="0"/>
              </w:rPr>
            </w:r>
          </w:p>
          <w:p w:rsidR="00000000" w:rsidDel="00000000" w:rsidP="00000000" w:rsidRDefault="00000000" w:rsidRPr="00000000" w14:paraId="00000097">
            <w:pPr>
              <w:tabs>
                <w:tab w:val="left" w:pos="567"/>
                <w:tab w:val="left" w:pos="993"/>
                <w:tab w:val="left" w:pos="1560"/>
                <w:tab w:val="left" w:pos="2127"/>
              </w:tabs>
              <w:jc w:val="both"/>
              <w:rPr>
                <w:color w:val="000000"/>
                <w:sz w:val="24"/>
                <w:szCs w:val="24"/>
              </w:rPr>
            </w:pPr>
            <w:r w:rsidDel="00000000" w:rsidR="00000000" w:rsidRPr="00000000">
              <w:rPr>
                <w:color w:val="000000"/>
                <w:sz w:val="24"/>
                <w:szCs w:val="24"/>
                <w:rtl w:val="0"/>
              </w:rPr>
              <w:t xml:space="preserve">(2) Taxa se calculează prin aplicarea următorului barem lunar asupra venitului lunar taxabil, determinat potrivit art.134</w:t>
            </w:r>
            <w:r w:rsidDel="00000000" w:rsidR="00000000" w:rsidRPr="00000000">
              <w:rPr>
                <w:color w:val="000000"/>
                <w:sz w:val="24"/>
                <w:szCs w:val="24"/>
                <w:vertAlign w:val="superscript"/>
                <w:rtl w:val="0"/>
              </w:rPr>
              <w:t xml:space="preserve">2</w:t>
            </w:r>
            <w:r w:rsidDel="00000000" w:rsidR="00000000" w:rsidRPr="00000000">
              <w:rPr>
                <w:color w:val="000000"/>
                <w:sz w:val="24"/>
                <w:szCs w:val="24"/>
                <w:rtl w:val="0"/>
              </w:rPr>
              <w:t xml:space="preserve"> alin.(1) sau </w:t>
            </w:r>
          </w:p>
          <w:p w:rsidR="00000000" w:rsidDel="00000000" w:rsidP="00000000" w:rsidRDefault="00000000" w:rsidRPr="00000000" w14:paraId="00000098">
            <w:pPr>
              <w:tabs>
                <w:tab w:val="left" w:pos="567"/>
                <w:tab w:val="left" w:pos="993"/>
                <w:tab w:val="left" w:pos="1560"/>
                <w:tab w:val="left" w:pos="2127"/>
              </w:tabs>
              <w:jc w:val="both"/>
              <w:rPr>
                <w:color w:val="000000"/>
                <w:sz w:val="24"/>
                <w:szCs w:val="24"/>
              </w:rPr>
            </w:pPr>
            <w:r w:rsidDel="00000000" w:rsidR="00000000" w:rsidRPr="00000000">
              <w:rPr>
                <w:color w:val="000000"/>
                <w:sz w:val="24"/>
                <w:szCs w:val="24"/>
                <w:rtl w:val="0"/>
              </w:rPr>
              <w:t xml:space="preserve"> (2), după caz:</w:t>
            </w:r>
          </w:p>
          <w:p w:rsidR="00000000" w:rsidDel="00000000" w:rsidP="00000000" w:rsidRDefault="00000000" w:rsidRPr="00000000" w14:paraId="00000099">
            <w:pPr>
              <w:tabs>
                <w:tab w:val="left" w:pos="567"/>
                <w:tab w:val="left" w:pos="993"/>
                <w:tab w:val="left" w:pos="1560"/>
                <w:tab w:val="left" w:pos="2127"/>
              </w:tabs>
              <w:jc w:val="both"/>
              <w:rPr>
                <w:color w:val="000000"/>
                <w:sz w:val="24"/>
                <w:szCs w:val="24"/>
              </w:rPr>
            </w:pPr>
            <w:r w:rsidDel="00000000" w:rsidR="00000000" w:rsidRPr="00000000">
              <w:rPr>
                <w:rtl w:val="0"/>
              </w:rPr>
            </w:r>
          </w:p>
          <w:tbl>
            <w:tblPr>
              <w:tblStyle w:val="Table2"/>
              <w:tblW w:w="45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0"/>
              <w:gridCol w:w="1589"/>
              <w:tblGridChange w:id="0">
                <w:tblGrid>
                  <w:gridCol w:w="3000"/>
                  <w:gridCol w:w="1589"/>
                </w:tblGrid>
              </w:tblGridChange>
            </w:tblGrid>
            <w:tr>
              <w:tc>
                <w:tcPr>
                  <w:tcBorders>
                    <w:bottom w:color="000000" w:space="0" w:sz="0" w:val="nil"/>
                  </w:tcBorders>
                  <w:vAlign w:val="center"/>
                </w:tcPr>
                <w:p w:rsidR="00000000" w:rsidDel="00000000" w:rsidP="00000000" w:rsidRDefault="00000000" w:rsidRPr="00000000" w14:paraId="0000009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Tranşe de venit</w:t>
                  </w:r>
                </w:p>
              </w:tc>
              <w:tc>
                <w:tcPr>
                  <w:vMerge w:val="restart"/>
                </w:tcPr>
                <w:p w:rsidR="00000000" w:rsidDel="00000000" w:rsidP="00000000" w:rsidRDefault="00000000" w:rsidRPr="00000000" w14:paraId="0000009B">
                  <w:pPr>
                    <w:ind w:left="-10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Taxă</w:t>
                  </w:r>
                </w:p>
                <w:p w:rsidR="00000000" w:rsidDel="00000000" w:rsidP="00000000" w:rsidRDefault="00000000" w:rsidRPr="00000000" w14:paraId="0000009C">
                  <w:pPr>
                    <w:ind w:left="-10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-lei-</w:t>
                  </w:r>
                </w:p>
                <w:p w:rsidR="00000000" w:rsidDel="00000000" w:rsidP="00000000" w:rsidRDefault="00000000" w:rsidRPr="00000000" w14:paraId="0000009D">
                  <w:pPr>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tcBorders>
                  <w:vAlign w:val="center"/>
                </w:tcPr>
                <w:p w:rsidR="00000000" w:rsidDel="00000000" w:rsidP="00000000" w:rsidRDefault="00000000" w:rsidRPr="00000000" w14:paraId="0000009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lunar taxabil</w:t>
                  </w:r>
                </w:p>
                <w:p w:rsidR="00000000" w:rsidDel="00000000" w:rsidP="00000000" w:rsidRDefault="00000000" w:rsidRPr="00000000" w14:paraId="0000009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-lei-</w:t>
                  </w:r>
                </w:p>
              </w:tc>
              <w:tc>
                <w:tcPr>
                  <w:vMerge w:val="continue"/>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trHeight w:val="820" w:hRule="atLeast"/>
              </w:trPr>
              <w:tc>
                <w:tcPr>
                  <w:vAlign w:val="center"/>
                </w:tcPr>
                <w:p w:rsidR="00000000" w:rsidDel="00000000" w:rsidP="00000000" w:rsidRDefault="00000000" w:rsidRPr="00000000" w14:paraId="000000A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Până la 7.000, inclusiv</w:t>
                  </w:r>
                </w:p>
              </w:tc>
              <w:tc>
                <w:tcPr>
                  <w:vAlign w:val="center"/>
                </w:tcPr>
                <w:p w:rsidR="00000000" w:rsidDel="00000000" w:rsidP="00000000" w:rsidRDefault="00000000" w:rsidRPr="00000000" w14:paraId="000000A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trHeight w:val="820" w:hRule="atLeast"/>
              </w:trPr>
              <w:tc>
                <w:tcPr>
                  <w:vAlign w:val="center"/>
                </w:tcPr>
                <w:p w:rsidR="00000000" w:rsidDel="00000000" w:rsidP="00000000" w:rsidRDefault="00000000" w:rsidRPr="00000000" w14:paraId="000000A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7001-10.000, inclusiv</w:t>
                  </w:r>
                </w:p>
              </w:tc>
              <w:tc>
                <w:tcPr>
                  <w:vAlign w:val="center"/>
                </w:tcPr>
                <w:p w:rsidR="00000000" w:rsidDel="00000000" w:rsidP="00000000" w:rsidRDefault="00000000" w:rsidRPr="00000000" w14:paraId="000000A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r>
            <w:tr>
              <w:trPr>
                <w:trHeight w:val="820" w:hRule="atLeast"/>
              </w:trPr>
              <w:tc>
                <w:tcPr>
                  <w:vAlign w:val="center"/>
                </w:tcPr>
                <w:p w:rsidR="00000000" w:rsidDel="00000000" w:rsidP="00000000" w:rsidRDefault="00000000" w:rsidRPr="00000000" w14:paraId="000000A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Peste 10.000</w:t>
                  </w:r>
                </w:p>
              </w:tc>
              <w:tc>
                <w:tcPr>
                  <w:vAlign w:val="center"/>
                </w:tcPr>
                <w:p w:rsidR="00000000" w:rsidDel="00000000" w:rsidP="00000000" w:rsidRDefault="00000000" w:rsidRPr="00000000" w14:paraId="000000A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900+50% pentru ceea ce depăşeşte suma de 10.000 lei</w:t>
                  </w:r>
                </w:p>
              </w:tc>
            </w:tr>
          </w:tbl>
          <w:p w:rsidR="00000000" w:rsidDel="00000000" w:rsidP="00000000" w:rsidRDefault="00000000" w:rsidRPr="00000000" w14:paraId="000000A7">
            <w:pPr>
              <w:tabs>
                <w:tab w:val="left" w:pos="567"/>
                <w:tab w:val="left" w:pos="993"/>
                <w:tab w:val="left" w:pos="1560"/>
                <w:tab w:val="left" w:pos="2127"/>
              </w:tabs>
              <w:jc w:val="both"/>
              <w:rPr>
                <w:color w:val="000000"/>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275"/>
              </w:tabs>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articolul 134³, alin. (2) se modifică și va avea următorul cuprins: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275"/>
              </w:tabs>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275"/>
              </w:tabs>
              <w:spacing w:after="0" w:before="0" w:line="24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Taxa se calculează prin aplicarea următorului barem lunar asupra venitului lunar taxabil, determinat potrivit art. 134² alin. (1) </w:t>
            </w:r>
            <w:r w:rsidDel="00000000" w:rsidR="00000000" w:rsidRPr="00000000">
              <w:rPr>
                <w:rtl w:val="0"/>
              </w:rPr>
            </w:r>
          </w:p>
          <w:p w:rsidR="00000000" w:rsidDel="00000000" w:rsidP="00000000" w:rsidRDefault="00000000" w:rsidRPr="00000000" w14:paraId="000000AB">
            <w:pPr>
              <w:jc w:val="both"/>
              <w:rPr>
                <w:sz w:val="24"/>
                <w:szCs w:val="24"/>
              </w:rPr>
            </w:pPr>
            <w:r w:rsidDel="00000000" w:rsidR="00000000" w:rsidRPr="00000000">
              <w:rPr>
                <w:sz w:val="24"/>
                <w:szCs w:val="24"/>
                <w:rtl w:val="0"/>
              </w:rPr>
              <w:t xml:space="preserve"> sau (2), după caz:</w:t>
            </w:r>
          </w:p>
          <w:p w:rsidR="00000000" w:rsidDel="00000000" w:rsidP="00000000" w:rsidRDefault="00000000" w:rsidRPr="00000000" w14:paraId="000000AC">
            <w:pPr>
              <w:jc w:val="both"/>
              <w:rPr>
                <w:sz w:val="24"/>
                <w:szCs w:val="24"/>
              </w:rPr>
            </w:pPr>
            <w:r w:rsidDel="00000000" w:rsidR="00000000" w:rsidRPr="00000000">
              <w:rPr>
                <w:rtl w:val="0"/>
              </w:rPr>
            </w:r>
          </w:p>
          <w:tbl>
            <w:tblPr>
              <w:tblStyle w:val="Table3"/>
              <w:tblW w:w="45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0"/>
              <w:gridCol w:w="1589"/>
              <w:tblGridChange w:id="0">
                <w:tblGrid>
                  <w:gridCol w:w="3000"/>
                  <w:gridCol w:w="1589"/>
                </w:tblGrid>
              </w:tblGridChange>
            </w:tblGrid>
            <w:tr>
              <w:tc>
                <w:tcPr>
                  <w:tcBorders>
                    <w:bottom w:color="000000" w:space="0" w:sz="0" w:val="nil"/>
                  </w:tcBorders>
                  <w:vAlign w:val="center"/>
                </w:tcPr>
                <w:p w:rsidR="00000000" w:rsidDel="00000000" w:rsidP="00000000" w:rsidRDefault="00000000" w:rsidRPr="00000000" w14:paraId="000000A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Tranşe de venit</w:t>
                  </w:r>
                </w:p>
              </w:tc>
              <w:tc>
                <w:tcPr>
                  <w:vMerge w:val="restart"/>
                </w:tcPr>
                <w:p w:rsidR="00000000" w:rsidDel="00000000" w:rsidP="00000000" w:rsidRDefault="00000000" w:rsidRPr="00000000" w14:paraId="000000AE">
                  <w:pPr>
                    <w:ind w:left="-10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Taxă</w:t>
                  </w:r>
                </w:p>
                <w:p w:rsidR="00000000" w:rsidDel="00000000" w:rsidP="00000000" w:rsidRDefault="00000000" w:rsidRPr="00000000" w14:paraId="000000AF">
                  <w:pPr>
                    <w:ind w:left="-10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-lei-</w:t>
                  </w:r>
                </w:p>
                <w:p w:rsidR="00000000" w:rsidDel="00000000" w:rsidP="00000000" w:rsidRDefault="00000000" w:rsidRPr="00000000" w14:paraId="000000B0">
                  <w:pPr>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tcBorders>
                  <w:vAlign w:val="center"/>
                </w:tcPr>
                <w:p w:rsidR="00000000" w:rsidDel="00000000" w:rsidP="00000000" w:rsidRDefault="00000000" w:rsidRPr="00000000" w14:paraId="000000B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lunar taxabil</w:t>
                  </w:r>
                </w:p>
                <w:p w:rsidR="00000000" w:rsidDel="00000000" w:rsidP="00000000" w:rsidRDefault="00000000" w:rsidRPr="00000000" w14:paraId="000000B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-lei-</w:t>
                  </w:r>
                </w:p>
              </w:tc>
              <w:tc>
                <w:tcPr>
                  <w:vMerge w:val="continue"/>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trHeight w:val="820" w:hRule="atLeast"/>
              </w:trPr>
              <w:tc>
                <w:tcPr>
                  <w:vAlign w:val="center"/>
                </w:tcPr>
                <w:p w:rsidR="00000000" w:rsidDel="00000000" w:rsidP="00000000" w:rsidRDefault="00000000" w:rsidRPr="00000000" w14:paraId="000000B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Până la 2.000, inclusiv</w:t>
                  </w:r>
                </w:p>
              </w:tc>
              <w:tc>
                <w:tcPr>
                  <w:vAlign w:val="center"/>
                </w:tcPr>
                <w:p w:rsidR="00000000" w:rsidDel="00000000" w:rsidP="00000000" w:rsidRDefault="00000000" w:rsidRPr="00000000" w14:paraId="000000B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trHeight w:val="820" w:hRule="atLeast"/>
              </w:trPr>
              <w:tc>
                <w:tcPr>
                  <w:vAlign w:val="center"/>
                </w:tcPr>
                <w:p w:rsidR="00000000" w:rsidDel="00000000" w:rsidP="00000000" w:rsidRDefault="00000000" w:rsidRPr="00000000" w14:paraId="000000B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Între 2.000-7.000, inclusiv</w:t>
                  </w:r>
                </w:p>
              </w:tc>
              <w:tc>
                <w:tcPr>
                  <w:vAlign w:val="center"/>
                </w:tcPr>
                <w:p w:rsidR="00000000" w:rsidDel="00000000" w:rsidP="00000000" w:rsidRDefault="00000000" w:rsidRPr="00000000" w14:paraId="000000B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trHeight w:val="820" w:hRule="atLeast"/>
              </w:trPr>
              <w:tc>
                <w:tcPr>
                  <w:vAlign w:val="center"/>
                </w:tcPr>
                <w:p w:rsidR="00000000" w:rsidDel="00000000" w:rsidP="00000000" w:rsidRDefault="00000000" w:rsidRPr="00000000" w14:paraId="000000B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Peste 7.001</w:t>
                  </w:r>
                </w:p>
              </w:tc>
              <w:tc>
                <w:tcPr>
                  <w:vAlign w:val="center"/>
                </w:tcPr>
                <w:p w:rsidR="00000000" w:rsidDel="00000000" w:rsidP="00000000" w:rsidRDefault="00000000" w:rsidRPr="00000000" w14:paraId="000000B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85% pentru ceea ce depășește suma de 7001 lei</w:t>
                  </w:r>
                </w:p>
              </w:tc>
            </w:tr>
          </w:tbl>
          <w:p w:rsidR="00000000" w:rsidDel="00000000" w:rsidP="00000000" w:rsidRDefault="00000000" w:rsidRPr="00000000" w14:paraId="000000BA">
            <w:pPr>
              <w:jc w:val="both"/>
              <w:rPr>
                <w:sz w:val="24"/>
                <w:szCs w:val="24"/>
              </w:rPr>
            </w:pPr>
            <w:r w:rsidDel="00000000" w:rsidR="00000000" w:rsidRPr="00000000">
              <w:rPr>
                <w:rtl w:val="0"/>
              </w:rPr>
            </w:r>
          </w:p>
          <w:p w:rsidR="00000000" w:rsidDel="00000000" w:rsidP="00000000" w:rsidRDefault="00000000" w:rsidRPr="00000000" w14:paraId="000000BB">
            <w:pPr>
              <w:jc w:val="both"/>
              <w:rPr>
                <w:sz w:val="24"/>
                <w:szCs w:val="24"/>
              </w:rPr>
            </w:pPr>
            <w:r w:rsidDel="00000000" w:rsidR="00000000" w:rsidRPr="00000000">
              <w:rPr>
                <w:rtl w:val="0"/>
              </w:rPr>
            </w:r>
          </w:p>
          <w:p w:rsidR="00000000" w:rsidDel="00000000" w:rsidP="00000000" w:rsidRDefault="00000000" w:rsidRPr="00000000" w14:paraId="000000BC">
            <w:pPr>
              <w:jc w:val="both"/>
              <w:rPr>
                <w:i w:val="1"/>
                <w:sz w:val="24"/>
                <w:szCs w:val="24"/>
              </w:rPr>
            </w:pPr>
            <w:bookmarkStart w:colFirst="0" w:colLast="0" w:name="_gjdgxs" w:id="0"/>
            <w:bookmarkEnd w:id="0"/>
            <w:r w:rsidDel="00000000" w:rsidR="00000000" w:rsidRPr="00000000">
              <w:rPr>
                <w:i w:val="1"/>
                <w:sz w:val="24"/>
                <w:szCs w:val="24"/>
                <w:rtl w:val="0"/>
              </w:rPr>
              <w:t xml:space="preserve">Autori: Deputat PSD Alfred Simonis, deputat PNL Florin Roman, Membrii Comisiei pentru buget PSD si PNL</w:t>
            </w:r>
          </w:p>
          <w:p w:rsidR="00000000" w:rsidDel="00000000" w:rsidP="00000000" w:rsidRDefault="00000000" w:rsidRPr="00000000" w14:paraId="000000BD">
            <w:pPr>
              <w:jc w:val="both"/>
              <w:rPr>
                <w:sz w:val="24"/>
                <w:szCs w:val="24"/>
              </w:rPr>
            </w:pPr>
            <w:r w:rsidDel="00000000" w:rsidR="00000000" w:rsidRPr="00000000">
              <w:rPr>
                <w:rtl w:val="0"/>
              </w:rPr>
            </w:r>
          </w:p>
          <w:p w:rsidR="00000000" w:rsidDel="00000000" w:rsidP="00000000" w:rsidRDefault="00000000" w:rsidRPr="00000000" w14:paraId="000000BE">
            <w:pPr>
              <w:jc w:val="both"/>
              <w:rPr>
                <w:sz w:val="24"/>
                <w:szCs w:val="24"/>
              </w:rPr>
            </w:pPr>
            <w:r w:rsidDel="00000000" w:rsidR="00000000" w:rsidRPr="00000000">
              <w:rPr>
                <w:rtl w:val="0"/>
              </w:rPr>
            </w:r>
          </w:p>
          <w:p w:rsidR="00000000" w:rsidDel="00000000" w:rsidP="00000000" w:rsidRDefault="00000000" w:rsidRPr="00000000" w14:paraId="000000BF">
            <w:pPr>
              <w:jc w:val="both"/>
              <w:rPr>
                <w:b w:val="1"/>
                <w:i w:val="1"/>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14:paraId="000000C0">
            <w:pPr>
              <w:jc w:val="both"/>
              <w:rPr>
                <w:color w:val="000000"/>
                <w:sz w:val="24"/>
                <w:szCs w:val="24"/>
              </w:rPr>
            </w:pPr>
            <w:r w:rsidDel="00000000" w:rsidR="00000000" w:rsidRPr="00000000">
              <w:rPr>
                <w:rtl w:val="0"/>
              </w:rPr>
            </w:r>
          </w:p>
        </w:tc>
      </w:tr>
      <w:tr>
        <w:trPr>
          <w:trHeight w:val="60" w:hRule="atLeast"/>
        </w:trPr>
        <w:tc>
          <w:tcPr>
            <w:tcBorders>
              <w:top w:color="000000" w:space="0" w:sz="0" w:val="nil"/>
            </w:tcBorders>
          </w:tcPr>
          <w:p w:rsidR="00000000" w:rsidDel="00000000" w:rsidP="00000000" w:rsidRDefault="00000000" w:rsidRPr="00000000" w14:paraId="000000C1">
            <w:pPr>
              <w:jc w:val="both"/>
              <w:rPr>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0" w:val="nil"/>
            </w:tcBorders>
          </w:tcPr>
          <w:p w:rsidR="00000000" w:rsidDel="00000000" w:rsidP="00000000" w:rsidRDefault="00000000" w:rsidRPr="00000000" w14:paraId="000000C3">
            <w:pPr>
              <w:jc w:val="both"/>
              <w:rPr>
                <w:sz w:val="24"/>
                <w:szCs w:val="24"/>
              </w:rPr>
            </w:pPr>
            <w:r w:rsidDel="00000000" w:rsidR="00000000" w:rsidRPr="00000000">
              <w:rPr>
                <w:rtl w:val="0"/>
              </w:rPr>
            </w:r>
          </w:p>
        </w:tc>
        <w:tc>
          <w:tcPr>
            <w:tcBorders>
              <w:top w:color="000000" w:space="0" w:sz="0" w:val="nil"/>
            </w:tcBorders>
          </w:tcPr>
          <w:p w:rsidR="00000000" w:rsidDel="00000000" w:rsidP="00000000" w:rsidRDefault="00000000" w:rsidRPr="00000000" w14:paraId="000000C4">
            <w:pPr>
              <w:jc w:val="both"/>
              <w:rPr>
                <w:sz w:val="24"/>
                <w:szCs w:val="24"/>
              </w:rPr>
            </w:pPr>
            <w:r w:rsidDel="00000000" w:rsidR="00000000" w:rsidRPr="00000000">
              <w:rPr>
                <w:rtl w:val="0"/>
              </w:rPr>
            </w:r>
          </w:p>
        </w:tc>
      </w:tr>
      <w:tr>
        <w:trPr>
          <w:trHeight w:val="60" w:hRule="atLeast"/>
        </w:trPr>
        <w:tc>
          <w:tcPr>
            <w:tcBorders>
              <w:top w:color="000000" w:space="0" w:sz="0" w:val="nil"/>
            </w:tcBorders>
          </w:tcPr>
          <w:p w:rsidR="00000000" w:rsidDel="00000000" w:rsidP="00000000" w:rsidRDefault="00000000" w:rsidRPr="00000000" w14:paraId="000000C5">
            <w:pPr>
              <w:jc w:val="both"/>
              <w:rPr>
                <w:sz w:val="24"/>
                <w:szCs w:val="24"/>
              </w:rPr>
            </w:pPr>
            <w:r w:rsidDel="00000000" w:rsidR="00000000" w:rsidRPr="00000000">
              <w:rPr>
                <w:rtl w:val="0"/>
              </w:rPr>
            </w:r>
          </w:p>
        </w:tc>
        <w:tc>
          <w:tcPr>
            <w:tcBorders>
              <w:top w:color="000000" w:space="0" w:sz="0" w:val="nil"/>
            </w:tcBorders>
            <w:shd w:fill="auto" w:val="clear"/>
          </w:tcPr>
          <w:p w:rsidR="00000000" w:rsidDel="00000000" w:rsidP="00000000" w:rsidRDefault="00000000" w:rsidRPr="00000000" w14:paraId="000000C6">
            <w:pPr>
              <w:tabs>
                <w:tab w:val="left" w:pos="567"/>
                <w:tab w:val="left" w:pos="993"/>
                <w:tab w:val="left" w:pos="1560"/>
                <w:tab w:val="left" w:pos="2127"/>
              </w:tabs>
              <w:jc w:val="both"/>
              <w:rPr>
                <w:color w:val="000000"/>
                <w:sz w:val="24"/>
                <w:szCs w:val="24"/>
              </w:rPr>
            </w:pPr>
            <w:r w:rsidDel="00000000" w:rsidR="00000000" w:rsidRPr="00000000">
              <w:rPr>
                <w:rtl w:val="0"/>
              </w:rPr>
            </w:r>
          </w:p>
          <w:p w:rsidR="00000000" w:rsidDel="00000000" w:rsidP="00000000" w:rsidRDefault="00000000" w:rsidRPr="00000000" w14:paraId="000000C7">
            <w:pPr>
              <w:tabs>
                <w:tab w:val="left" w:pos="567"/>
                <w:tab w:val="left" w:pos="993"/>
                <w:tab w:val="left" w:pos="1560"/>
                <w:tab w:val="left" w:pos="2127"/>
              </w:tabs>
              <w:jc w:val="both"/>
              <w:rPr>
                <w:color w:val="000000"/>
                <w:sz w:val="24"/>
                <w:szCs w:val="24"/>
              </w:rPr>
            </w:pPr>
            <w:r w:rsidDel="00000000" w:rsidR="00000000" w:rsidRPr="00000000">
              <w:rPr>
                <w:rtl w:val="0"/>
              </w:rPr>
            </w:r>
          </w:p>
          <w:p w:rsidR="00000000" w:rsidDel="00000000" w:rsidP="00000000" w:rsidRDefault="00000000" w:rsidRPr="00000000" w14:paraId="000000C8">
            <w:pPr>
              <w:tabs>
                <w:tab w:val="left" w:pos="567"/>
                <w:tab w:val="left" w:pos="993"/>
                <w:tab w:val="left" w:pos="1560"/>
                <w:tab w:val="left" w:pos="2127"/>
              </w:tabs>
              <w:jc w:val="both"/>
              <w:rPr>
                <w:color w:val="000000"/>
                <w:sz w:val="24"/>
                <w:szCs w:val="24"/>
              </w:rPr>
            </w:pPr>
            <w:r w:rsidDel="00000000" w:rsidR="00000000" w:rsidRPr="00000000">
              <w:rPr>
                <w:rtl w:val="0"/>
              </w:rPr>
            </w:r>
          </w:p>
          <w:p w:rsidR="00000000" w:rsidDel="00000000" w:rsidP="00000000" w:rsidRDefault="00000000" w:rsidRPr="00000000" w14:paraId="000000C9">
            <w:pPr>
              <w:tabs>
                <w:tab w:val="left" w:pos="567"/>
                <w:tab w:val="left" w:pos="993"/>
                <w:tab w:val="left" w:pos="1560"/>
                <w:tab w:val="left" w:pos="2127"/>
              </w:tabs>
              <w:jc w:val="both"/>
              <w:rPr>
                <w:b w:val="1"/>
                <w:color w:val="000000"/>
                <w:sz w:val="24"/>
                <w:szCs w:val="24"/>
              </w:rPr>
            </w:pPr>
            <w:r w:rsidDel="00000000" w:rsidR="00000000" w:rsidRPr="00000000">
              <w:rPr>
                <w:rtl w:val="0"/>
              </w:rPr>
            </w:r>
          </w:p>
        </w:tc>
        <w:tc>
          <w:tcPr>
            <w:tcBorders>
              <w:top w:color="000000" w:space="0" w:sz="0" w:val="nil"/>
            </w:tcBorders>
          </w:tcPr>
          <w:p w:rsidR="00000000" w:rsidDel="00000000" w:rsidP="00000000" w:rsidRDefault="00000000" w:rsidRPr="00000000" w14:paraId="000000CA">
            <w:pPr>
              <w:jc w:val="both"/>
              <w:rPr>
                <w:b w:val="1"/>
                <w:sz w:val="24"/>
                <w:szCs w:val="24"/>
              </w:rPr>
            </w:pPr>
            <w:r w:rsidDel="00000000" w:rsidR="00000000" w:rsidRPr="00000000">
              <w:rPr>
                <w:rtl w:val="0"/>
              </w:rPr>
            </w:r>
          </w:p>
        </w:tc>
        <w:tc>
          <w:tcPr>
            <w:tcBorders>
              <w:top w:color="000000" w:space="0" w:sz="0" w:val="nil"/>
            </w:tcBorders>
          </w:tcPr>
          <w:p w:rsidR="00000000" w:rsidDel="00000000" w:rsidP="00000000" w:rsidRDefault="00000000" w:rsidRPr="00000000" w14:paraId="000000CB">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CC">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CD">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(3) Taxa calculată potrivit alin.(2) nu poate diminua cuantumul pensiei din sistemul public stabilită în baza principiului contributivității. În cazul în care diferența între venitul lunar taxabil și taxa calculată potrivit alin.(2) se situează sub nivelul cuantumului pensiei din sistemul public stabilită în baza principiului contributivității, taxa se calculează în limita acestui nivel.</w:t>
              <w:tab/>
              <w:tab/>
            </w:r>
          </w:p>
        </w:tc>
        <w:tc>
          <w:tcPr/>
          <w:p w:rsidR="00000000" w:rsidDel="00000000" w:rsidP="00000000" w:rsidRDefault="00000000" w:rsidRPr="00000000" w14:paraId="000000CE">
            <w:pPr>
              <w:jc w:val="both"/>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CF">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D0">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D1">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(4) În cazul contribuabililor care realizează lunar venituri cumulate, de la mai mulți plătitori, taxa se recalculează prin aplicarea baremului lunar prevăzut la alin.(2) asupra venitului lunar taxabil, determinat potrivit art.134</w:t>
            </w:r>
            <w:r w:rsidDel="00000000" w:rsidR="00000000" w:rsidRPr="00000000">
              <w:rPr>
                <w:color w:val="000000"/>
                <w:sz w:val="24"/>
                <w:szCs w:val="24"/>
                <w:highlight w:val="yellow"/>
                <w:vertAlign w:val="superscript"/>
                <w:rtl w:val="0"/>
              </w:rPr>
              <w:t xml:space="preserve">2</w:t>
            </w:r>
            <w:r w:rsidDel="00000000" w:rsidR="00000000" w:rsidRPr="00000000">
              <w:rPr>
                <w:color w:val="000000"/>
                <w:sz w:val="24"/>
                <w:szCs w:val="24"/>
                <w:rtl w:val="0"/>
              </w:rPr>
              <w:t xml:space="preserve"> alin.(2) din care se deduce taxa reținută de către fiecare plătitor de venit, în  limita pensiei din sistemul public stabilită în baza principiului contributivității.</w:t>
            </w:r>
          </w:p>
        </w:tc>
        <w:tc>
          <w:tcPr/>
          <w:p w:rsidR="00000000" w:rsidDel="00000000" w:rsidP="00000000" w:rsidRDefault="00000000" w:rsidRPr="00000000" w14:paraId="000000D2">
            <w:pPr>
              <w:jc w:val="both"/>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D3">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D4">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D5">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(5) Pentru stabilirea taxei prevăzută la alin.(4), Casa de pensii publică teritorială sau a municipiului București, respectiv casa de pensii sectorială, după caz, pe baza datelor furnizate de către contribuabil prin declarația pe propria răspundere și a documentelor justificative emise de toți plătitorii de venituri, cumulează veniturile din pensii și/sau indemnizații pentru limită de vârstă din care deduce impozitul pe venit aferent, datorat, calculat de către fiecare plătitor de venit, verifică încadrarea în plafonul prevăzut la art.134</w:t>
            </w:r>
            <w:r w:rsidDel="00000000" w:rsidR="00000000" w:rsidRPr="00000000">
              <w:rPr>
                <w:color w:val="000000"/>
                <w:sz w:val="24"/>
                <w:szCs w:val="24"/>
                <w:highlight w:val="yellow"/>
                <w:vertAlign w:val="superscript"/>
                <w:rtl w:val="0"/>
              </w:rPr>
              <w:t xml:space="preserve">1</w:t>
            </w:r>
            <w:r w:rsidDel="00000000" w:rsidR="00000000" w:rsidRPr="00000000">
              <w:rPr>
                <w:color w:val="000000"/>
                <w:sz w:val="24"/>
                <w:szCs w:val="24"/>
                <w:rtl w:val="0"/>
              </w:rPr>
              <w:t xml:space="preserve"> alin.(2), efectuează recalcularea taxei și determină diferența de taxă de plată rezultată, după caz.</w:t>
            </w:r>
          </w:p>
        </w:tc>
        <w:tc>
          <w:tcPr/>
          <w:p w:rsidR="00000000" w:rsidDel="00000000" w:rsidP="00000000" w:rsidRDefault="00000000" w:rsidRPr="00000000" w14:paraId="000000D6">
            <w:pPr>
              <w:jc w:val="both"/>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D7">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D8">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D9">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(6) Taxa se reține la data efectuării plății venitului din pensie și/sau indemnizației pentru limită de vârstă și se plătește până la data de 25 inclusiv a lunii următoare celei pentru care se face plata</w:t>
            </w:r>
          </w:p>
        </w:tc>
        <w:tc>
          <w:tcPr/>
          <w:p w:rsidR="00000000" w:rsidDel="00000000" w:rsidP="00000000" w:rsidRDefault="00000000" w:rsidRPr="00000000" w14:paraId="000000DA">
            <w:pPr>
              <w:jc w:val="both"/>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DB">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DC">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DD">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(7) În cazul prevăzut la alin.(4), plătitorul de venit de la alin.(5) reține taxa la data plății venitului din pensie și/sau indemnizației pentru limită de vârstă, din drepturile celei de a doua luni următoare celei pentru care se recalculează taxa, iar termenul de plată este până la data de 25 inclusiv a celei de a treia luni următoare celei pentru care se recalculează taxa.</w:t>
            </w:r>
          </w:p>
          <w:p w:rsidR="00000000" w:rsidDel="00000000" w:rsidP="00000000" w:rsidRDefault="00000000" w:rsidRPr="00000000" w14:paraId="000000DE">
            <w:pPr>
              <w:tabs>
                <w:tab w:val="left" w:pos="567"/>
                <w:tab w:val="left" w:pos="993"/>
                <w:tab w:val="left" w:pos="1560"/>
                <w:tab w:val="left" w:pos="2127"/>
              </w:tabs>
              <w:spacing w:line="276" w:lineRule="auto"/>
              <w:jc w:val="both"/>
              <w:rPr>
                <w:color w:val="000000"/>
                <w:sz w:val="24"/>
                <w:szCs w:val="24"/>
              </w:rPr>
            </w:pPr>
            <w:r w:rsidDel="00000000" w:rsidR="00000000" w:rsidRPr="00000000">
              <w:rPr>
                <w:rtl w:val="0"/>
              </w:rPr>
            </w:r>
          </w:p>
        </w:tc>
        <w:tc>
          <w:tcPr/>
          <w:p w:rsidR="00000000" w:rsidDel="00000000" w:rsidP="00000000" w:rsidRDefault="00000000" w:rsidRPr="00000000" w14:paraId="000000DF">
            <w:pPr>
              <w:jc w:val="both"/>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E0">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E1">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E2">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(8) În cazul veniturilor din pensii și/sau indemnizații pentru limită de vârstă, al diferențelor de venituri din pensii și/sau indemnizații pentru limită de vârstă, precum și al sumelor reprezentând actualizarea acestora cu indicele de inflație, stabilite pentru perioade anterioare, în baza unei legi de acordare expresă a acestora sau în baza hotărârilor judecătorești rămase definitive și irevocabile/hotărârilor judecătorești definitive și executorii, taxa se calculează separat față de taxa aferentă drepturilor lunii curente, prin aplicarea baremului lunar prevăzut la alin.(2) asupra venitului taxabil. Baza de calcul reprezentând venitul taxabil se determină prin deducerea impozitului pe venit aferent acesteia, datorat potrivit prevederilor Titlului IV. În acest caz, se aplică regimul de taxare în vigoare la data calculării taxei. Taxa se reține la data efectuării plății și se plătește până la data de 25 inclusiv a lunii următoare celei în care s-au plătit sumele acordate. În cazul în care plățile se efectuează eșalonat, reținerea taxei se face proporțional la fiecare plată. Termenul de plată este până la data de 25 inclusiv a lunii următoare celei în care s-a efectuat plata.</w:t>
            </w:r>
          </w:p>
        </w:tc>
        <w:tc>
          <w:tcPr/>
          <w:p w:rsidR="00000000" w:rsidDel="00000000" w:rsidP="00000000" w:rsidRDefault="00000000" w:rsidRPr="00000000" w14:paraId="000000E3">
            <w:pPr>
              <w:jc w:val="both"/>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E4">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E5">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E6">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(9) În cazul drepturilor aferente veniturilor din pensii și/sau indemnizații, stabilite pentru perioade anterioare, în alte situații decât cele prevăzute la alin.(8), acestea se defalcă pe lunile la care se referă, în vederea calculării, reținerii și plății taxei datorate, după caz, până la data de 25 inclusiv a lunii următoare celei în care se face plata. În acest caz, se aplică regimul de taxare în vigoare în perioadele cărora le sunt aferente veniturile.</w:t>
            </w:r>
          </w:p>
        </w:tc>
        <w:tc>
          <w:tcPr/>
          <w:p w:rsidR="00000000" w:rsidDel="00000000" w:rsidP="00000000" w:rsidRDefault="00000000" w:rsidRPr="00000000" w14:paraId="000000E7">
            <w:pPr>
              <w:jc w:val="both"/>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E8">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E9">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EA">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(10)</w:t>
              <w:tab/>
              <w:t xml:space="preserve">În cazul pensiilor pentru care determinarea componentei bazate pe principiul contributivității se produce ulterior stabilirii și reținerii taxei, iar aceasta generează aplicarea unui alt plafon netaxabil corespunzător  pensiei din sistemul public stabilită în baza principiului contributivității, plătitorii de venituri din pensii și/sau indemnizații pentru limită de vârstă recalculează taxa pentru perioadele anterioare. În acest caz, se aplică regimul de taxare în vigoare în perioadele cărora le sunt aferente veniturile. </w:t>
            </w:r>
          </w:p>
        </w:tc>
        <w:tc>
          <w:tcPr/>
          <w:p w:rsidR="00000000" w:rsidDel="00000000" w:rsidP="00000000" w:rsidRDefault="00000000" w:rsidRPr="00000000" w14:paraId="000000EB">
            <w:pPr>
              <w:jc w:val="both"/>
              <w:rPr>
                <w:sz w:val="24"/>
                <w:szCs w:val="24"/>
              </w:rPr>
            </w:pPr>
            <w:r w:rsidDel="00000000" w:rsidR="00000000" w:rsidRPr="00000000">
              <w:rPr>
                <w:rtl w:val="0"/>
              </w:rPr>
            </w:r>
          </w:p>
        </w:tc>
        <w:tc>
          <w:tcPr/>
          <w:p w:rsidR="00000000" w:rsidDel="00000000" w:rsidP="00000000" w:rsidRDefault="00000000" w:rsidRPr="00000000" w14:paraId="000000EC">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ED">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EE">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(11) În cazul nerespectării de către contribuabil a obligației prevăzute la art.134</w:t>
            </w:r>
            <w:r w:rsidDel="00000000" w:rsidR="00000000" w:rsidRPr="00000000">
              <w:rPr>
                <w:color w:val="000000"/>
                <w:sz w:val="24"/>
                <w:szCs w:val="24"/>
                <w:vertAlign w:val="superscript"/>
                <w:rtl w:val="0"/>
              </w:rPr>
              <w:t xml:space="preserve">2</w:t>
            </w:r>
            <w:r w:rsidDel="00000000" w:rsidR="00000000" w:rsidRPr="00000000">
              <w:rPr>
                <w:color w:val="000000"/>
                <w:sz w:val="24"/>
                <w:szCs w:val="24"/>
                <w:rtl w:val="0"/>
              </w:rPr>
              <w:t xml:space="preserve"> alin.(6) sunt aplicabile dispozițiile Legii nr.207/2015 privind Codul de procedură fiscală, cu modificările și completările ulterioare.</w:t>
            </w:r>
          </w:p>
        </w:tc>
        <w:tc>
          <w:tcPr/>
          <w:p w:rsidR="00000000" w:rsidDel="00000000" w:rsidP="00000000" w:rsidRDefault="00000000" w:rsidRPr="00000000" w14:paraId="000000EF">
            <w:pPr>
              <w:jc w:val="both"/>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F0">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F1">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F2">
            <w:pPr>
              <w:tabs>
                <w:tab w:val="left" w:pos="567"/>
                <w:tab w:val="left" w:pos="993"/>
                <w:tab w:val="left" w:pos="1560"/>
                <w:tab w:val="left" w:pos="2127"/>
              </w:tabs>
              <w:spacing w:line="276" w:lineRule="auto"/>
              <w:jc w:val="both"/>
              <w:rPr>
                <w:color w:val="000000"/>
                <w:sz w:val="24"/>
                <w:szCs w:val="24"/>
              </w:rPr>
            </w:pPr>
            <w:r w:rsidDel="00000000" w:rsidR="00000000" w:rsidRPr="00000000">
              <w:rPr>
                <w:color w:val="000000"/>
                <w:sz w:val="24"/>
                <w:szCs w:val="24"/>
                <w:rtl w:val="0"/>
              </w:rPr>
              <w:t xml:space="preserve">(12) Prevederile art.132 din Titlul IV se aplică în mod corespunzător și pentru taxa pe veniturile din pensii și/sau indemnizații pentru limită de vârstă.</w:t>
            </w:r>
          </w:p>
        </w:tc>
        <w:tc>
          <w:tcPr/>
          <w:p w:rsidR="00000000" w:rsidDel="00000000" w:rsidP="00000000" w:rsidRDefault="00000000" w:rsidRPr="00000000" w14:paraId="000000F3">
            <w:pPr>
              <w:jc w:val="both"/>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F4">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F5">
            <w:pPr>
              <w:numPr>
                <w:ilvl w:val="0"/>
                <w:numId w:val="1"/>
              </w:numPr>
              <w:ind w:left="0" w:firstLine="0"/>
              <w:jc w:val="both"/>
              <w:rPr/>
            </w:pPr>
            <w:r w:rsidDel="00000000" w:rsidR="00000000" w:rsidRPr="00000000">
              <w:rPr>
                <w:rtl w:val="0"/>
              </w:rPr>
            </w:r>
          </w:p>
        </w:tc>
        <w:tc>
          <w:tcPr>
            <w:shd w:fill="auto" w:val="clear"/>
            <w:vAlign w:val="center"/>
          </w:tcPr>
          <w:p w:rsidR="00000000" w:rsidDel="00000000" w:rsidP="00000000" w:rsidRDefault="00000000" w:rsidRPr="00000000" w14:paraId="000000F6">
            <w:pPr>
              <w:tabs>
                <w:tab w:val="left" w:pos="567"/>
                <w:tab w:val="left" w:pos="993"/>
                <w:tab w:val="left" w:pos="1560"/>
                <w:tab w:val="left" w:pos="2127"/>
              </w:tabs>
              <w:spacing w:line="276" w:lineRule="auto"/>
              <w:jc w:val="center"/>
              <w:rPr>
                <w:b w:val="1"/>
                <w:color w:val="000000"/>
                <w:sz w:val="24"/>
                <w:szCs w:val="24"/>
              </w:rPr>
            </w:pPr>
            <w:r w:rsidDel="00000000" w:rsidR="00000000" w:rsidRPr="00000000">
              <w:rPr>
                <w:b w:val="1"/>
                <w:color w:val="000000"/>
                <w:sz w:val="24"/>
                <w:szCs w:val="24"/>
                <w:rtl w:val="0"/>
              </w:rPr>
              <w:t xml:space="preserve">Art.134</w:t>
            </w:r>
            <w:r w:rsidDel="00000000" w:rsidR="00000000" w:rsidRPr="00000000">
              <w:rPr>
                <w:b w:val="1"/>
                <w:color w:val="000000"/>
                <w:sz w:val="24"/>
                <w:szCs w:val="24"/>
                <w:vertAlign w:val="superscript"/>
                <w:rtl w:val="0"/>
              </w:rPr>
              <w:t xml:space="preserve">4</w:t>
            </w:r>
            <w:r w:rsidDel="00000000" w:rsidR="00000000" w:rsidRPr="00000000">
              <w:rPr>
                <w:b w:val="1"/>
                <w:color w:val="000000"/>
                <w:sz w:val="24"/>
                <w:szCs w:val="24"/>
                <w:rtl w:val="0"/>
              </w:rPr>
              <w:t xml:space="preserve">.- Perioada de aplicare</w:t>
            </w:r>
          </w:p>
          <w:p w:rsidR="00000000" w:rsidDel="00000000" w:rsidP="00000000" w:rsidRDefault="00000000" w:rsidRPr="00000000" w14:paraId="000000F7">
            <w:pPr>
              <w:tabs>
                <w:tab w:val="left" w:pos="567"/>
                <w:tab w:val="left" w:pos="993"/>
                <w:tab w:val="left" w:pos="1560"/>
                <w:tab w:val="left" w:pos="2127"/>
              </w:tabs>
              <w:spacing w:line="276" w:lineRule="auto"/>
              <w:jc w:val="center"/>
              <w:rPr>
                <w:b w:val="1"/>
                <w:color w:val="000000"/>
                <w:sz w:val="24"/>
                <w:szCs w:val="24"/>
              </w:rPr>
            </w:pPr>
            <w:r w:rsidDel="00000000" w:rsidR="00000000" w:rsidRPr="00000000">
              <w:rPr>
                <w:rtl w:val="0"/>
              </w:rPr>
            </w:r>
          </w:p>
          <w:p w:rsidR="00000000" w:rsidDel="00000000" w:rsidP="00000000" w:rsidRDefault="00000000" w:rsidRPr="00000000" w14:paraId="000000F8">
            <w:pPr>
              <w:tabs>
                <w:tab w:val="left" w:pos="567"/>
                <w:tab w:val="left" w:pos="993"/>
                <w:tab w:val="left" w:pos="1560"/>
                <w:tab w:val="left" w:pos="2127"/>
              </w:tabs>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F9">
            <w:pPr>
              <w:tabs>
                <w:tab w:val="left" w:pos="567"/>
                <w:tab w:val="left" w:pos="993"/>
                <w:tab w:val="left" w:pos="1560"/>
                <w:tab w:val="left" w:pos="2127"/>
              </w:tabs>
              <w:spacing w:line="276" w:lineRule="auto"/>
              <w:jc w:val="both"/>
              <w:rPr>
                <w:b w:val="1"/>
                <w:color w:val="000000"/>
                <w:sz w:val="24"/>
                <w:szCs w:val="24"/>
              </w:rPr>
            </w:pPr>
            <w:r w:rsidDel="00000000" w:rsidR="00000000" w:rsidRPr="00000000">
              <w:rPr>
                <w:color w:val="000000"/>
                <w:sz w:val="24"/>
                <w:szCs w:val="24"/>
                <w:rtl w:val="0"/>
              </w:rPr>
              <w:t xml:space="preserve">Prevederile prezentului titlu</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se aplică până la data de 31 decembrie</w:t>
            </w:r>
            <w:r w:rsidDel="00000000" w:rsidR="00000000" w:rsidRPr="00000000">
              <w:rPr>
                <w:b w:val="1"/>
                <w:color w:val="000000"/>
                <w:sz w:val="24"/>
                <w:szCs w:val="24"/>
                <w:rtl w:val="0"/>
              </w:rPr>
              <w:t xml:space="preserve"> 2025 </w:t>
            </w:r>
            <w:r w:rsidDel="00000000" w:rsidR="00000000" w:rsidRPr="00000000">
              <w:rPr>
                <w:color w:val="000000"/>
                <w:sz w:val="24"/>
                <w:szCs w:val="24"/>
                <w:rtl w:val="0"/>
              </w:rPr>
              <w:t xml:space="preserve">inclusiv.</w:t>
            </w:r>
            <w:r w:rsidDel="00000000" w:rsidR="00000000" w:rsidRPr="00000000">
              <w:rPr>
                <w:b w:val="1"/>
                <w:color w:val="000000"/>
                <w:sz w:val="24"/>
                <w:szCs w:val="24"/>
                <w:rtl w:val="0"/>
              </w:rPr>
              <w:t xml:space="preserve">”</w:t>
            </w:r>
          </w:p>
        </w:tc>
        <w:tc>
          <w:tcPr/>
          <w:p w:rsidR="00000000" w:rsidDel="00000000" w:rsidP="00000000" w:rsidRDefault="00000000" w:rsidRPr="00000000" w14:paraId="000000FA">
            <w:pPr>
              <w:jc w:val="both"/>
              <w:rPr>
                <w:b w:val="1"/>
                <w:i w:val="1"/>
                <w:sz w:val="24"/>
                <w:szCs w:val="24"/>
              </w:rPr>
            </w:pPr>
            <w:r w:rsidDel="00000000" w:rsidR="00000000" w:rsidRPr="00000000">
              <w:rPr>
                <w:b w:val="1"/>
                <w:i w:val="1"/>
                <w:sz w:val="24"/>
                <w:szCs w:val="24"/>
                <w:rtl w:val="0"/>
              </w:rPr>
              <w:t xml:space="preserve">Se elimina </w:t>
            </w:r>
          </w:p>
        </w:tc>
        <w:tc>
          <w:tcPr/>
          <w:p w:rsidR="00000000" w:rsidDel="00000000" w:rsidP="00000000" w:rsidRDefault="00000000" w:rsidRPr="00000000" w14:paraId="000000FB">
            <w:pPr>
              <w:jc w:val="both"/>
              <w:rPr>
                <w:sz w:val="24"/>
                <w:szCs w:val="24"/>
              </w:rPr>
            </w:pPr>
            <w:r w:rsidDel="00000000" w:rsidR="00000000" w:rsidRPr="00000000">
              <w:rPr>
                <w:rtl w:val="0"/>
              </w:rPr>
            </w:r>
          </w:p>
        </w:tc>
      </w:tr>
      <w:tr>
        <w:trPr>
          <w:trHeight w:val="60" w:hRule="atLeast"/>
        </w:trPr>
        <w:tc>
          <w:tcPr/>
          <w:p w:rsidR="00000000" w:rsidDel="00000000" w:rsidP="00000000" w:rsidRDefault="00000000" w:rsidRPr="00000000" w14:paraId="000000FC">
            <w:pPr>
              <w:numPr>
                <w:ilvl w:val="0"/>
                <w:numId w:val="1"/>
              </w:numPr>
              <w:ind w:left="0" w:firstLine="0"/>
              <w:jc w:val="both"/>
              <w:rPr/>
            </w:pPr>
            <w:r w:rsidDel="00000000" w:rsidR="00000000" w:rsidRPr="00000000">
              <w:rPr>
                <w:rtl w:val="0"/>
              </w:rPr>
            </w:r>
          </w:p>
        </w:tc>
        <w:tc>
          <w:tcPr>
            <w:shd w:fill="auto" w:val="clear"/>
          </w:tcPr>
          <w:p w:rsidR="00000000" w:rsidDel="00000000" w:rsidP="00000000" w:rsidRDefault="00000000" w:rsidRPr="00000000" w14:paraId="000000FD">
            <w:pPr>
              <w:tabs>
                <w:tab w:val="left" w:pos="567"/>
                <w:tab w:val="left" w:pos="993"/>
                <w:tab w:val="left" w:pos="1560"/>
                <w:tab w:val="left" w:pos="2127"/>
              </w:tabs>
              <w:spacing w:line="276" w:lineRule="auto"/>
              <w:jc w:val="both"/>
              <w:rPr>
                <w:b w:val="1"/>
                <w:color w:val="000000"/>
                <w:sz w:val="24"/>
                <w:szCs w:val="24"/>
              </w:rPr>
            </w:pPr>
            <w:r w:rsidDel="00000000" w:rsidR="00000000" w:rsidRPr="00000000">
              <w:rPr>
                <w:b w:val="1"/>
                <w:color w:val="000000"/>
                <w:sz w:val="24"/>
                <w:szCs w:val="24"/>
                <w:rtl w:val="0"/>
              </w:rPr>
              <w:t xml:space="preserve">Art.II.-</w:t>
              <w:tab/>
            </w:r>
            <w:r w:rsidDel="00000000" w:rsidR="00000000" w:rsidRPr="00000000">
              <w:rPr>
                <w:color w:val="000000"/>
                <w:sz w:val="24"/>
                <w:szCs w:val="24"/>
                <w:rtl w:val="0"/>
              </w:rPr>
              <w:t xml:space="preserve">Prezenta lege intră în vigoare la data de 1 a lunii următoare publicării în Monitorul Oficial al României, Partea I.</w:t>
            </w:r>
            <w:r w:rsidDel="00000000" w:rsidR="00000000" w:rsidRPr="00000000">
              <w:rPr>
                <w:rtl w:val="0"/>
              </w:rPr>
            </w:r>
          </w:p>
        </w:tc>
        <w:tc>
          <w:tcPr/>
          <w:p w:rsidR="00000000" w:rsidDel="00000000" w:rsidP="00000000" w:rsidRDefault="00000000" w:rsidRPr="00000000" w14:paraId="000000FE">
            <w:pPr>
              <w:jc w:val="both"/>
              <w:rPr>
                <w:sz w:val="24"/>
                <w:szCs w:val="24"/>
              </w:rPr>
            </w:pPr>
            <w:r w:rsidDel="00000000" w:rsidR="00000000" w:rsidRPr="00000000">
              <w:rPr>
                <w:sz w:val="24"/>
                <w:szCs w:val="24"/>
                <w:rtl w:val="0"/>
              </w:rPr>
              <w:t xml:space="preserve">Nemodificat</w:t>
            </w:r>
          </w:p>
        </w:tc>
        <w:tc>
          <w:tcPr/>
          <w:p w:rsidR="00000000" w:rsidDel="00000000" w:rsidP="00000000" w:rsidRDefault="00000000" w:rsidRPr="00000000" w14:paraId="000000FF">
            <w:pPr>
              <w:jc w:val="both"/>
              <w:rPr>
                <w:sz w:val="24"/>
                <w:szCs w:val="24"/>
              </w:rPr>
            </w:pPr>
            <w:r w:rsidDel="00000000" w:rsidR="00000000" w:rsidRPr="00000000">
              <w:rPr>
                <w:rtl w:val="0"/>
              </w:rPr>
            </w:r>
          </w:p>
        </w:tc>
      </w:tr>
    </w:tbl>
    <w:p w:rsidR="00000000" w:rsidDel="00000000" w:rsidP="00000000" w:rsidRDefault="00000000" w:rsidRPr="00000000" w14:paraId="00000100">
      <w:pPr>
        <w:jc w:val="both"/>
        <w:rPr/>
      </w:pPr>
      <w:r w:rsidDel="00000000" w:rsidR="00000000" w:rsidRPr="00000000">
        <w:rPr>
          <w:rtl w:val="0"/>
        </w:rPr>
      </w:r>
    </w:p>
    <w:sectPr>
      <w:footerReference r:id="rId6" w:type="default"/>
      <w:pgSz w:h="11909" w:w="16834"/>
      <w:pgMar w:bottom="567" w:top="851"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ZapfDingbats"/>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8" w:hanging="360"/>
      </w:pPr>
      <w:rPr>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ZapfDingbats" w:cs="ZapfDingbats" w:eastAsia="ZapfDingbats" w:hAnsi="ZapfDingbats"/>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ZapfDingbats" w:cs="ZapfDingbats" w:eastAsia="ZapfDingbats" w:hAnsi="ZapfDingbats"/>
      <w:b w:val="1"/>
      <w:sz w:val="60"/>
      <w:szCs w:val="60"/>
    </w:rPr>
  </w:style>
  <w:style w:type="paragraph" w:styleId="Normal" w:default="1">
    <w:name w:val="Normal"/>
    <w:qFormat w:val="1"/>
    <w:rsid w:val="00F8608F"/>
    <w:rPr>
      <w:rFonts w:eastAsia="Times New Roman"/>
      <w:sz w:val="28"/>
      <w:lang w:val="ro-RO"/>
    </w:rPr>
  </w:style>
  <w:style w:type="paragraph" w:styleId="Heading1">
    <w:name w:val="heading 1"/>
    <w:basedOn w:val="Normal"/>
    <w:next w:val="Normal"/>
    <w:link w:val="Heading1Char"/>
    <w:qFormat w:val="1"/>
    <w:rsid w:val="003350C8"/>
    <w:pPr>
      <w:keepNext w:val="1"/>
      <w:jc w:val="center"/>
      <w:outlineLvl w:val="0"/>
    </w:pPr>
    <w:rPr>
      <w:rFonts w:ascii="ZapfDingbats" w:eastAsia="ZapfDingbats" w:hAnsi="ZapfDingbats"/>
      <w:sz w:val="3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F8608F"/>
    <w:pPr>
      <w:jc w:val="center"/>
    </w:pPr>
    <w:rPr>
      <w:rFonts w:ascii="ZapfDingbats" w:eastAsia="ZapfDingbats" w:hAnsi="ZapfDingbats"/>
      <w:b w:val="1"/>
      <w:sz w:val="60"/>
    </w:rPr>
  </w:style>
  <w:style w:type="character" w:styleId="TitleChar" w:customStyle="1">
    <w:name w:val="Title Char"/>
    <w:basedOn w:val="DefaultParagraphFont"/>
    <w:link w:val="Title"/>
    <w:rsid w:val="00F8608F"/>
    <w:rPr>
      <w:rFonts w:ascii="ZapfDingbats" w:cs="Times New Roman" w:eastAsia="ZapfDingbats" w:hAnsi="ZapfDingbats"/>
      <w:b w:val="1"/>
      <w:sz w:val="60"/>
      <w:szCs w:val="20"/>
    </w:rPr>
  </w:style>
  <w:style w:type="paragraph" w:styleId="BodyTextIndent2">
    <w:name w:val="Body Text Indent 2"/>
    <w:basedOn w:val="Normal"/>
    <w:link w:val="BodyTextIndent2Char"/>
    <w:rsid w:val="00F8608F"/>
    <w:pPr>
      <w:spacing w:line="360" w:lineRule="auto"/>
      <w:ind w:firstLine="720"/>
      <w:jc w:val="both"/>
    </w:pPr>
    <w:rPr>
      <w:sz w:val="24"/>
    </w:rPr>
  </w:style>
  <w:style w:type="character" w:styleId="BodyTextIndent2Char" w:customStyle="1">
    <w:name w:val="Body Text Indent 2 Char"/>
    <w:basedOn w:val="DefaultParagraphFont"/>
    <w:link w:val="BodyTextIndent2"/>
    <w:rsid w:val="00F8608F"/>
    <w:rPr>
      <w:rFonts w:cs="Times New Roman" w:eastAsia="Times New Roman"/>
      <w:sz w:val="24"/>
      <w:szCs w:val="20"/>
    </w:rPr>
  </w:style>
  <w:style w:type="paragraph" w:styleId="Footer">
    <w:name w:val="footer"/>
    <w:basedOn w:val="Normal"/>
    <w:link w:val="FooterChar"/>
    <w:uiPriority w:val="99"/>
    <w:unhideWhenUsed w:val="1"/>
    <w:rsid w:val="00F8608F"/>
    <w:pPr>
      <w:tabs>
        <w:tab w:val="center" w:pos="4513"/>
        <w:tab w:val="right" w:pos="9026"/>
      </w:tabs>
    </w:pPr>
  </w:style>
  <w:style w:type="character" w:styleId="FooterChar" w:customStyle="1">
    <w:name w:val="Footer Char"/>
    <w:basedOn w:val="DefaultParagraphFont"/>
    <w:link w:val="Footer"/>
    <w:uiPriority w:val="99"/>
    <w:rsid w:val="00F8608F"/>
    <w:rPr>
      <w:rFonts w:cs="Times New Roman" w:eastAsia="Times New Roman"/>
      <w:szCs w:val="20"/>
    </w:rPr>
  </w:style>
  <w:style w:type="character" w:styleId="Bodytext" w:customStyle="1">
    <w:name w:val="Body text_"/>
    <w:basedOn w:val="DefaultParagraphFont"/>
    <w:link w:val="BodyText1"/>
    <w:uiPriority w:val="99"/>
    <w:rsid w:val="00F8608F"/>
    <w:rPr>
      <w:sz w:val="29"/>
      <w:szCs w:val="29"/>
      <w:shd w:color="auto" w:fill="ffffff" w:val="clear"/>
    </w:rPr>
  </w:style>
  <w:style w:type="paragraph" w:styleId="BodyText1" w:customStyle="1">
    <w:name w:val="Body Text1"/>
    <w:basedOn w:val="Normal"/>
    <w:link w:val="Bodytext"/>
    <w:uiPriority w:val="99"/>
    <w:rsid w:val="00F8608F"/>
    <w:pPr>
      <w:widowControl w:val="0"/>
      <w:shd w:color="auto" w:fill="ffffff" w:val="clear"/>
      <w:spacing w:after="960" w:before="420" w:line="349" w:lineRule="exact"/>
      <w:jc w:val="both"/>
    </w:pPr>
    <w:rPr>
      <w:rFonts w:eastAsia="Calibri"/>
      <w:sz w:val="29"/>
      <w:szCs w:val="29"/>
    </w:rPr>
  </w:style>
  <w:style w:type="paragraph" w:styleId="BalloonText">
    <w:name w:val="Balloon Text"/>
    <w:basedOn w:val="Normal"/>
    <w:link w:val="BalloonTextChar"/>
    <w:unhideWhenUsed w:val="1"/>
    <w:rsid w:val="00F8608F"/>
    <w:rPr>
      <w:rFonts w:ascii="Tahoma" w:cs="Tahoma" w:hAnsi="Tahoma"/>
      <w:sz w:val="16"/>
      <w:szCs w:val="16"/>
    </w:rPr>
  </w:style>
  <w:style w:type="character" w:styleId="BalloonTextChar" w:customStyle="1">
    <w:name w:val="Balloon Text Char"/>
    <w:basedOn w:val="DefaultParagraphFont"/>
    <w:link w:val="BalloonText"/>
    <w:rsid w:val="00F8608F"/>
    <w:rPr>
      <w:rFonts w:ascii="Tahoma" w:cs="Tahoma" w:eastAsia="Times New Roman" w:hAnsi="Tahoma"/>
      <w:sz w:val="16"/>
      <w:szCs w:val="16"/>
    </w:rPr>
  </w:style>
  <w:style w:type="paragraph" w:styleId="Header">
    <w:name w:val="header"/>
    <w:basedOn w:val="Normal"/>
    <w:link w:val="HeaderChar"/>
    <w:unhideWhenUsed w:val="1"/>
    <w:rsid w:val="00BD0726"/>
    <w:pPr>
      <w:tabs>
        <w:tab w:val="center" w:pos="4680"/>
        <w:tab w:val="right" w:pos="9360"/>
      </w:tabs>
    </w:pPr>
  </w:style>
  <w:style w:type="character" w:styleId="HeaderChar" w:customStyle="1">
    <w:name w:val="Header Char"/>
    <w:basedOn w:val="DefaultParagraphFont"/>
    <w:link w:val="Header"/>
    <w:rsid w:val="00BD0726"/>
    <w:rPr>
      <w:rFonts w:eastAsia="Times New Roman"/>
      <w:sz w:val="28"/>
      <w:lang w:val="ro-RO"/>
    </w:rPr>
  </w:style>
  <w:style w:type="character" w:styleId="Heading1Char" w:customStyle="1">
    <w:name w:val="Heading 1 Char"/>
    <w:basedOn w:val="DefaultParagraphFont"/>
    <w:link w:val="Heading1"/>
    <w:rsid w:val="003350C8"/>
    <w:rPr>
      <w:rFonts w:ascii="ZapfDingbats" w:eastAsia="ZapfDingbats" w:hAnsi="ZapfDingbats"/>
      <w:sz w:val="36"/>
      <w:lang w:val="ro-RO"/>
    </w:rPr>
  </w:style>
  <w:style w:type="character" w:styleId="PageNumber">
    <w:name w:val="page number"/>
    <w:basedOn w:val="DefaultParagraphFont"/>
    <w:rsid w:val="003350C8"/>
  </w:style>
  <w:style w:type="character" w:styleId="Heading2" w:customStyle="1">
    <w:name w:val="Heading #2_"/>
    <w:basedOn w:val="DefaultParagraphFont"/>
    <w:link w:val="Heading20"/>
    <w:rsid w:val="003350C8"/>
    <w:rPr>
      <w:sz w:val="22"/>
      <w:szCs w:val="22"/>
      <w:shd w:color="auto" w:fill="ffffff" w:val="clear"/>
    </w:rPr>
  </w:style>
  <w:style w:type="paragraph" w:styleId="Heading20" w:customStyle="1">
    <w:name w:val="Heading #2"/>
    <w:basedOn w:val="Normal"/>
    <w:link w:val="Heading2"/>
    <w:rsid w:val="003350C8"/>
    <w:pPr>
      <w:shd w:color="auto" w:fill="ffffff" w:val="clear"/>
      <w:spacing w:after="120" w:before="240" w:line="0" w:lineRule="atLeast"/>
      <w:ind w:firstLine="680"/>
      <w:jc w:val="both"/>
      <w:outlineLvl w:val="1"/>
    </w:pPr>
    <w:rPr>
      <w:rFonts w:eastAsia="Calibri"/>
      <w:sz w:val="22"/>
      <w:szCs w:val="22"/>
      <w:lang w:val="en-US"/>
    </w:rPr>
  </w:style>
  <w:style w:type="character" w:styleId="Bodytext2" w:customStyle="1">
    <w:name w:val="Body text (2)_"/>
    <w:basedOn w:val="DefaultParagraphFont"/>
    <w:link w:val="Bodytext20"/>
    <w:uiPriority w:val="99"/>
    <w:rsid w:val="003350C8"/>
    <w:rPr>
      <w:sz w:val="24"/>
      <w:szCs w:val="24"/>
      <w:shd w:color="auto" w:fill="ffffff" w:val="clear"/>
    </w:rPr>
  </w:style>
  <w:style w:type="paragraph" w:styleId="Bodytext20" w:customStyle="1">
    <w:name w:val="Body text (2)"/>
    <w:basedOn w:val="Normal"/>
    <w:link w:val="Bodytext2"/>
    <w:uiPriority w:val="99"/>
    <w:rsid w:val="003350C8"/>
    <w:pPr>
      <w:shd w:color="auto" w:fill="ffffff" w:val="clear"/>
      <w:spacing w:before="840" w:line="317" w:lineRule="exact"/>
      <w:ind w:firstLine="580"/>
      <w:jc w:val="both"/>
    </w:pPr>
    <w:rPr>
      <w:rFonts w:eastAsia="Calibri"/>
      <w:sz w:val="24"/>
      <w:szCs w:val="24"/>
      <w:lang w:val="en-US"/>
    </w:rPr>
  </w:style>
  <w:style w:type="character" w:styleId="BodytextBold" w:customStyle="1">
    <w:name w:val="Body text + Bold"/>
    <w:basedOn w:val="DefaultParagraphFont"/>
    <w:uiPriority w:val="99"/>
    <w:rsid w:val="003350C8"/>
    <w:rPr>
      <w:rFonts w:ascii="Times New Roman" w:cs="Times New Roman" w:eastAsia="Times New Roman" w:hAnsi="Times New Roman"/>
      <w:b w:val="1"/>
      <w:bCs w:val="1"/>
      <w:i w:val="0"/>
      <w:iCs w:val="0"/>
      <w:smallCaps w:val="0"/>
      <w:strike w:val="0"/>
      <w:spacing w:val="0"/>
      <w:sz w:val="27"/>
      <w:szCs w:val="27"/>
    </w:rPr>
  </w:style>
  <w:style w:type="character" w:styleId="FontStyle11" w:customStyle="1">
    <w:name w:val="Font Style11"/>
    <w:basedOn w:val="DefaultParagraphFont"/>
    <w:uiPriority w:val="99"/>
    <w:rsid w:val="003350C8"/>
    <w:rPr>
      <w:rFonts w:ascii="Times New Roman" w:cs="Times New Roman" w:hAnsi="Times New Roman"/>
      <w:b w:val="1"/>
      <w:bCs w:val="1"/>
      <w:sz w:val="26"/>
      <w:szCs w:val="26"/>
    </w:rPr>
  </w:style>
  <w:style w:type="paragraph" w:styleId="ListParagraph">
    <w:name w:val="List Paragraph"/>
    <w:basedOn w:val="Normal"/>
    <w:link w:val="ListParagraphChar"/>
    <w:qFormat w:val="1"/>
    <w:rsid w:val="003350C8"/>
    <w:pPr>
      <w:ind w:left="720"/>
    </w:pPr>
    <w:rPr>
      <w:sz w:val="24"/>
      <w:szCs w:val="24"/>
      <w:lang w:val="en-US"/>
    </w:rPr>
  </w:style>
  <w:style w:type="paragraph" w:styleId="BodyText10" w:customStyle="1">
    <w:name w:val="Body Text1"/>
    <w:basedOn w:val="Normal"/>
    <w:uiPriority w:val="99"/>
    <w:rsid w:val="003350C8"/>
    <w:pPr>
      <w:shd w:color="auto" w:fill="ffffff" w:val="clear"/>
      <w:spacing w:after="360" w:before="480" w:line="371" w:lineRule="exact"/>
      <w:ind w:firstLine="580"/>
      <w:jc w:val="both"/>
    </w:pPr>
    <w:rPr>
      <w:sz w:val="27"/>
      <w:szCs w:val="27"/>
      <w:lang w:eastAsia="ro-RO"/>
    </w:rPr>
  </w:style>
  <w:style w:type="character" w:styleId="Hyperlink">
    <w:name w:val="Hyperlink"/>
    <w:basedOn w:val="DefaultParagraphFont"/>
    <w:unhideWhenUsed w:val="1"/>
    <w:rsid w:val="003350C8"/>
    <w:rPr>
      <w:b w:val="1"/>
      <w:bCs w:val="1"/>
      <w:color w:val="333399"/>
      <w:u w:val="single"/>
    </w:rPr>
  </w:style>
  <w:style w:type="character" w:styleId="do1" w:customStyle="1">
    <w:name w:val="do1"/>
    <w:basedOn w:val="DefaultParagraphFont"/>
    <w:rsid w:val="003350C8"/>
    <w:rPr>
      <w:b w:val="1"/>
      <w:bCs w:val="1"/>
      <w:sz w:val="26"/>
      <w:szCs w:val="26"/>
    </w:rPr>
  </w:style>
  <w:style w:type="character" w:styleId="tal" w:customStyle="1">
    <w:name w:val="tal"/>
    <w:basedOn w:val="DefaultParagraphFont"/>
    <w:rsid w:val="00F46981"/>
  </w:style>
  <w:style w:type="character" w:styleId="al" w:customStyle="1">
    <w:name w:val="al"/>
    <w:basedOn w:val="DefaultParagraphFont"/>
    <w:rsid w:val="00F46981"/>
  </w:style>
  <w:style w:type="character" w:styleId="apple-converted-space" w:customStyle="1">
    <w:name w:val="apple-converted-space"/>
    <w:basedOn w:val="DefaultParagraphFont"/>
    <w:rsid w:val="00F46981"/>
  </w:style>
  <w:style w:type="character" w:styleId="li" w:customStyle="1">
    <w:name w:val="li"/>
    <w:basedOn w:val="DefaultParagraphFont"/>
    <w:rsid w:val="00F46981"/>
  </w:style>
  <w:style w:type="character" w:styleId="tli" w:customStyle="1">
    <w:name w:val="tli"/>
    <w:basedOn w:val="DefaultParagraphFont"/>
    <w:rsid w:val="00F46981"/>
  </w:style>
  <w:style w:type="paragraph" w:styleId="ColorfulList-Accent11" w:customStyle="1">
    <w:name w:val="Colorful List - Accent 11"/>
    <w:basedOn w:val="Normal"/>
    <w:qFormat w:val="1"/>
    <w:rsid w:val="00F46981"/>
    <w:pPr>
      <w:ind w:left="720"/>
    </w:pPr>
    <w:rPr>
      <w:rFonts w:ascii="Calibri" w:cs="Calibri" w:eastAsia="Calibri" w:hAnsi="Calibri"/>
      <w:sz w:val="22"/>
      <w:szCs w:val="22"/>
    </w:rPr>
  </w:style>
  <w:style w:type="paragraph" w:styleId="stilparagraf" w:customStyle="1">
    <w:name w:val="stilparagraf"/>
    <w:basedOn w:val="Normal"/>
    <w:rsid w:val="00F46981"/>
    <w:pPr>
      <w:spacing w:after="100" w:afterAutospacing="1" w:before="100" w:beforeAutospacing="1"/>
    </w:pPr>
    <w:rPr>
      <w:sz w:val="24"/>
      <w:szCs w:val="24"/>
      <w:lang w:val="en-US"/>
    </w:rPr>
  </w:style>
  <w:style w:type="character" w:styleId="ar" w:customStyle="1">
    <w:name w:val="ar"/>
    <w:basedOn w:val="DefaultParagraphFont"/>
    <w:rsid w:val="00F46981"/>
  </w:style>
  <w:style w:type="character" w:styleId="tar" w:customStyle="1">
    <w:name w:val="tar"/>
    <w:basedOn w:val="DefaultParagraphFont"/>
    <w:rsid w:val="00F46981"/>
  </w:style>
  <w:style w:type="paragraph" w:styleId="TableContents" w:customStyle="1">
    <w:name w:val="Table Contents"/>
    <w:basedOn w:val="Normal"/>
    <w:rsid w:val="00F46981"/>
    <w:pPr>
      <w:widowControl w:val="0"/>
      <w:suppressLineNumbers w:val="1"/>
      <w:suppressAutoHyphens w:val="1"/>
    </w:pPr>
    <w:rPr>
      <w:rFonts w:ascii="Liberation Serif" w:cs="Mangal" w:eastAsia="SimSun" w:hAnsi="Liberation Serif"/>
      <w:kern w:val="1"/>
      <w:sz w:val="24"/>
      <w:szCs w:val="24"/>
      <w:lang w:bidi="hi-IN" w:eastAsia="zh-CN"/>
    </w:rPr>
  </w:style>
  <w:style w:type="character" w:styleId="tpa" w:customStyle="1">
    <w:name w:val="tpa"/>
    <w:basedOn w:val="DefaultParagraphFont"/>
    <w:rsid w:val="00F46981"/>
  </w:style>
  <w:style w:type="paragraph" w:styleId="CM4" w:customStyle="1">
    <w:name w:val="CM4"/>
    <w:basedOn w:val="Normal"/>
    <w:next w:val="Normal"/>
    <w:uiPriority w:val="99"/>
    <w:rsid w:val="00F46981"/>
    <w:pPr>
      <w:autoSpaceDE w:val="0"/>
      <w:autoSpaceDN w:val="0"/>
      <w:adjustRightInd w:val="0"/>
    </w:pPr>
    <w:rPr>
      <w:rFonts w:ascii="EUAlbertina" w:cs="EUAlbertina" w:hAnsi="EUAlbertina"/>
      <w:sz w:val="24"/>
      <w:szCs w:val="24"/>
      <w:lang w:val="en-US"/>
    </w:rPr>
  </w:style>
  <w:style w:type="character" w:styleId="rvts8" w:customStyle="1">
    <w:name w:val="rvts8"/>
    <w:basedOn w:val="DefaultParagraphFont"/>
    <w:rsid w:val="00F46981"/>
  </w:style>
  <w:style w:type="paragraph" w:styleId="CommentText">
    <w:name w:val="annotation text"/>
    <w:basedOn w:val="Normal"/>
    <w:link w:val="CommentTextChar"/>
    <w:uiPriority w:val="99"/>
    <w:rsid w:val="00F46981"/>
    <w:rPr>
      <w:sz w:val="20"/>
    </w:rPr>
  </w:style>
  <w:style w:type="character" w:styleId="CommentTextChar" w:customStyle="1">
    <w:name w:val="Comment Text Char"/>
    <w:basedOn w:val="DefaultParagraphFont"/>
    <w:link w:val="CommentText"/>
    <w:uiPriority w:val="99"/>
    <w:rsid w:val="00F46981"/>
    <w:rPr>
      <w:rFonts w:eastAsia="Times New Roman"/>
      <w:lang w:val="ro-RO"/>
    </w:rPr>
  </w:style>
  <w:style w:type="character" w:styleId="ln2talineat" w:customStyle="1">
    <w:name w:val="ln2talineat"/>
    <w:basedOn w:val="DefaultParagraphFont"/>
    <w:rsid w:val="00F46981"/>
  </w:style>
  <w:style w:type="character" w:styleId="spar" w:customStyle="1">
    <w:name w:val="s_par"/>
    <w:basedOn w:val="DefaultParagraphFont"/>
    <w:rsid w:val="00F46981"/>
    <w:rPr>
      <w:rFonts w:cs="Times New Roman"/>
    </w:rPr>
  </w:style>
  <w:style w:type="character" w:styleId="sartttl" w:customStyle="1">
    <w:name w:val="s_art_ttl"/>
    <w:basedOn w:val="DefaultParagraphFont"/>
    <w:rsid w:val="00F46981"/>
    <w:rPr>
      <w:rFonts w:cs="Times New Roman"/>
    </w:rPr>
  </w:style>
  <w:style w:type="paragraph" w:styleId="Normal1" w:customStyle="1">
    <w:name w:val="Normal1"/>
    <w:basedOn w:val="Normal"/>
    <w:rsid w:val="00F46981"/>
    <w:pPr>
      <w:spacing w:after="100" w:afterAutospacing="1" w:before="100" w:beforeAutospacing="1"/>
    </w:pPr>
    <w:rPr>
      <w:sz w:val="24"/>
      <w:szCs w:val="24"/>
      <w:lang w:val="en-US"/>
    </w:rPr>
  </w:style>
  <w:style w:type="table" w:styleId="TableGrid">
    <w:name w:val="Table Grid"/>
    <w:basedOn w:val="TableNormal"/>
    <w:uiPriority w:val="59"/>
    <w:rsid w:val="00E70D69"/>
    <w:rPr>
      <w:rFonts w:asciiTheme="minorHAnsi" w:cstheme="minorBidi" w:eastAsiaTheme="minorHAns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link w:val="ListParagraph"/>
    <w:locked w:val="1"/>
    <w:rsid w:val="00FB03E5"/>
    <w:rPr>
      <w:rFonts w:eastAsia="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2020-06-17T08:40:00Z</dcterms:created>
  <dc:creator>vasilica.popa</dc:creator>
</cp:coreProperties>
</file>